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3A0A" w14:textId="51AA629B" w:rsidR="008E344B" w:rsidRPr="004C6D20" w:rsidRDefault="008E344B" w:rsidP="00A15E66">
      <w:pPr>
        <w:spacing w:line="240" w:lineRule="auto"/>
        <w:jc w:val="center"/>
        <w:rPr>
          <w:rFonts w:cs="Arial"/>
          <w:sz w:val="28"/>
          <w:szCs w:val="30"/>
          <w:lang w:val="en-GB"/>
        </w:rPr>
      </w:pPr>
    </w:p>
    <w:tbl>
      <w:tblPr>
        <w:tblpPr w:leftFromText="141" w:rightFromText="141" w:vertAnchor="text" w:horzAnchor="margin" w:tblpXSpec="center" w:tblpY="121"/>
        <w:tblW w:w="0" w:type="auto"/>
        <w:tblCellSpacing w:w="0" w:type="dxa"/>
        <w:tblCellMar>
          <w:left w:w="0" w:type="dxa"/>
          <w:right w:w="0" w:type="dxa"/>
        </w:tblCellMar>
        <w:tblLook w:val="04A0" w:firstRow="1" w:lastRow="0" w:firstColumn="1" w:lastColumn="0" w:noHBand="0" w:noVBand="1"/>
      </w:tblPr>
      <w:tblGrid>
        <w:gridCol w:w="67"/>
        <w:gridCol w:w="5356"/>
      </w:tblGrid>
      <w:tr w:rsidR="00F83796" w:rsidRPr="004C6D20" w14:paraId="3F1187DB" w14:textId="77777777" w:rsidTr="00F83796">
        <w:trPr>
          <w:tblCellSpacing w:w="0" w:type="dxa"/>
        </w:trPr>
        <w:tc>
          <w:tcPr>
            <w:tcW w:w="0" w:type="auto"/>
            <w:gridSpan w:val="2"/>
            <w:tcMar>
              <w:top w:w="225" w:type="dxa"/>
              <w:left w:w="0" w:type="dxa"/>
              <w:bottom w:w="0" w:type="dxa"/>
              <w:right w:w="0" w:type="dxa"/>
            </w:tcMar>
            <w:vAlign w:val="center"/>
            <w:hideMark/>
          </w:tcPr>
          <w:p w14:paraId="33903A18" w14:textId="2EF07608" w:rsidR="00F45567" w:rsidRPr="004C6D20" w:rsidRDefault="00F45567" w:rsidP="00F83796">
            <w:pPr>
              <w:spacing w:before="0" w:after="0" w:line="276" w:lineRule="auto"/>
              <w:contextualSpacing w:val="0"/>
              <w:jc w:val="left"/>
              <w:rPr>
                <w:rFonts w:eastAsia="Calibri" w:cs="Arial"/>
                <w:color w:val="1F497D"/>
                <w:sz w:val="24"/>
                <w:szCs w:val="24"/>
              </w:rPr>
            </w:pPr>
            <w:r w:rsidRPr="004C6D20">
              <w:rPr>
                <w:rFonts w:cs="Arial"/>
                <w:noProof/>
                <w:sz w:val="28"/>
                <w:szCs w:val="30"/>
                <w:lang w:eastAsia="sl-SI"/>
              </w:rPr>
              <w:drawing>
                <wp:inline distT="0" distB="0" distL="0" distR="0" wp14:anchorId="59ECD6AA" wp14:editId="6DF415B7">
                  <wp:extent cx="2954075" cy="1028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p_EnergetikaLjubljana_2021-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207" cy="1031184"/>
                          </a:xfrm>
                          <a:prstGeom prst="rect">
                            <a:avLst/>
                          </a:prstGeom>
                        </pic:spPr>
                      </pic:pic>
                    </a:graphicData>
                  </a:graphic>
                </wp:inline>
              </w:drawing>
            </w:r>
          </w:p>
        </w:tc>
      </w:tr>
      <w:tr w:rsidR="00F83796" w:rsidRPr="004C6D20" w14:paraId="0EFC14AF" w14:textId="77777777" w:rsidTr="00F83796">
        <w:trPr>
          <w:tblCellSpacing w:w="0" w:type="dxa"/>
        </w:trPr>
        <w:tc>
          <w:tcPr>
            <w:tcW w:w="0" w:type="auto"/>
            <w:vMerge w:val="restart"/>
            <w:vAlign w:val="center"/>
            <w:hideMark/>
          </w:tcPr>
          <w:p w14:paraId="1E95ADEF" w14:textId="77777777" w:rsidR="00F83796" w:rsidRPr="004C6D20" w:rsidRDefault="00F83796" w:rsidP="00F83796">
            <w:pPr>
              <w:spacing w:before="0" w:after="0" w:line="276" w:lineRule="auto"/>
              <w:contextualSpacing w:val="0"/>
              <w:jc w:val="left"/>
              <w:rPr>
                <w:rFonts w:eastAsia="Calibri" w:cs="Arial"/>
                <w:color w:val="1F497D"/>
                <w:sz w:val="24"/>
                <w:szCs w:val="24"/>
              </w:rPr>
            </w:pPr>
            <w:r w:rsidRPr="004C6D20">
              <w:rPr>
                <w:rFonts w:eastAsia="Calibri" w:cs="Arial"/>
                <w:color w:val="1F497D"/>
                <w:sz w:val="24"/>
                <w:szCs w:val="24"/>
              </w:rPr>
              <w:t> </w:t>
            </w:r>
          </w:p>
        </w:tc>
        <w:tc>
          <w:tcPr>
            <w:tcW w:w="0" w:type="auto"/>
            <w:tcMar>
              <w:top w:w="90" w:type="dxa"/>
              <w:left w:w="0" w:type="dxa"/>
              <w:bottom w:w="0" w:type="dxa"/>
              <w:right w:w="0" w:type="dxa"/>
            </w:tcMar>
            <w:vAlign w:val="center"/>
            <w:hideMark/>
          </w:tcPr>
          <w:p w14:paraId="6F3E6756" w14:textId="06FAD62D" w:rsidR="00F83796" w:rsidRPr="004C6D20" w:rsidRDefault="00F83796" w:rsidP="00F83796">
            <w:pPr>
              <w:spacing w:before="0" w:after="0" w:line="276" w:lineRule="auto"/>
              <w:contextualSpacing w:val="0"/>
              <w:jc w:val="left"/>
              <w:rPr>
                <w:rFonts w:eastAsia="Calibri" w:cs="Arial"/>
                <w:b/>
                <w:color w:val="000000"/>
              </w:rPr>
            </w:pPr>
            <w:r w:rsidRPr="004C6D20">
              <w:rPr>
                <w:rFonts w:eastAsia="Calibri" w:cs="Arial"/>
                <w:b/>
                <w:color w:val="000000"/>
              </w:rPr>
              <w:t>Energetika Ljubljana, d.o.o.</w:t>
            </w:r>
          </w:p>
          <w:p w14:paraId="480F5351" w14:textId="77777777" w:rsidR="00F83796" w:rsidRPr="004C6D20" w:rsidRDefault="00F83796" w:rsidP="00F83796">
            <w:pPr>
              <w:spacing w:before="0" w:after="0" w:line="276" w:lineRule="auto"/>
              <w:contextualSpacing w:val="0"/>
              <w:jc w:val="left"/>
              <w:rPr>
                <w:rFonts w:eastAsia="Calibri" w:cs="Arial"/>
                <w:color w:val="000000"/>
              </w:rPr>
            </w:pPr>
            <w:r w:rsidRPr="004C6D20">
              <w:rPr>
                <w:rFonts w:eastAsia="Calibri" w:cs="Arial"/>
                <w:color w:val="000000"/>
              </w:rPr>
              <w:t xml:space="preserve">Verovškova ulica 62, </w:t>
            </w:r>
            <w:proofErr w:type="spellStart"/>
            <w:r w:rsidRPr="004C6D20">
              <w:rPr>
                <w:rFonts w:eastAsia="Calibri" w:cs="Arial"/>
                <w:color w:val="000000"/>
              </w:rPr>
              <w:t>p.p</w:t>
            </w:r>
            <w:proofErr w:type="spellEnd"/>
            <w:r w:rsidRPr="004C6D20">
              <w:rPr>
                <w:rFonts w:eastAsia="Calibri" w:cs="Arial"/>
                <w:color w:val="000000"/>
              </w:rPr>
              <w:t>. 2374, SI-1000 Ljubljana</w:t>
            </w:r>
            <w:r w:rsidRPr="004C6D20">
              <w:rPr>
                <w:rFonts w:eastAsia="Calibri" w:cs="Arial"/>
                <w:color w:val="000000"/>
              </w:rPr>
              <w:br/>
            </w:r>
            <w:r w:rsidRPr="004C6D20">
              <w:rPr>
                <w:rFonts w:eastAsia="Calibri" w:cs="Arial"/>
                <w:b/>
                <w:color w:val="000000"/>
              </w:rPr>
              <w:t xml:space="preserve">enota </w:t>
            </w:r>
            <w:r w:rsidRPr="004C6D20">
              <w:rPr>
                <w:rFonts w:eastAsia="Calibri" w:cs="Arial"/>
                <w:b/>
                <w:bCs/>
                <w:color w:val="000000"/>
              </w:rPr>
              <w:t>TE-TOL</w:t>
            </w:r>
            <w:r w:rsidRPr="004C6D20">
              <w:rPr>
                <w:rFonts w:eastAsia="Calibri" w:cs="Arial"/>
                <w:color w:val="000000"/>
              </w:rPr>
              <w:t>, Toplarniška ulica 19, SI-1000 Ljubljana</w:t>
            </w:r>
          </w:p>
        </w:tc>
      </w:tr>
      <w:tr w:rsidR="00F83796" w:rsidRPr="004C6D20" w14:paraId="0379E6D5" w14:textId="77777777" w:rsidTr="00F83796">
        <w:trPr>
          <w:tblCellSpacing w:w="0" w:type="dxa"/>
        </w:trPr>
        <w:tc>
          <w:tcPr>
            <w:tcW w:w="0" w:type="auto"/>
            <w:vMerge/>
            <w:vAlign w:val="center"/>
            <w:hideMark/>
          </w:tcPr>
          <w:p w14:paraId="77B23146" w14:textId="77777777" w:rsidR="00F83796" w:rsidRPr="004C6D20" w:rsidRDefault="00F83796" w:rsidP="00F83796">
            <w:pPr>
              <w:spacing w:before="0" w:after="0" w:line="240" w:lineRule="auto"/>
              <w:contextualSpacing w:val="0"/>
              <w:jc w:val="left"/>
              <w:rPr>
                <w:rFonts w:eastAsia="Calibri" w:cs="Arial"/>
                <w:color w:val="1F497D"/>
                <w:sz w:val="24"/>
                <w:szCs w:val="24"/>
              </w:rPr>
            </w:pPr>
          </w:p>
        </w:tc>
        <w:tc>
          <w:tcPr>
            <w:tcW w:w="0" w:type="auto"/>
            <w:tcMar>
              <w:top w:w="15" w:type="dxa"/>
              <w:left w:w="0" w:type="dxa"/>
              <w:bottom w:w="0" w:type="dxa"/>
              <w:right w:w="0" w:type="dxa"/>
            </w:tcMar>
            <w:vAlign w:val="center"/>
            <w:hideMark/>
          </w:tcPr>
          <w:p w14:paraId="523937AD" w14:textId="77777777" w:rsidR="00F83796" w:rsidRPr="004C6D20" w:rsidRDefault="005D2CB5" w:rsidP="00F83796">
            <w:pPr>
              <w:spacing w:before="0" w:after="0" w:line="276" w:lineRule="auto"/>
              <w:contextualSpacing w:val="0"/>
              <w:jc w:val="left"/>
              <w:rPr>
                <w:rFonts w:eastAsia="Calibri" w:cs="Arial"/>
                <w:color w:val="0163A6"/>
                <w:u w:val="single"/>
              </w:rPr>
            </w:pPr>
            <w:hyperlink r:id="rId9" w:history="1">
              <w:r w:rsidR="00F83796" w:rsidRPr="004C6D20">
                <w:rPr>
                  <w:rFonts w:eastAsia="Calibri" w:cs="Arial"/>
                  <w:color w:val="0163A6"/>
                  <w:u w:val="single"/>
                </w:rPr>
                <w:t>www.energetika-lj.si</w:t>
              </w:r>
            </w:hyperlink>
          </w:p>
          <w:p w14:paraId="1598ABFF" w14:textId="77777777" w:rsidR="00F45567" w:rsidRPr="004C6D20" w:rsidRDefault="00F45567" w:rsidP="00F83796">
            <w:pPr>
              <w:spacing w:before="0" w:after="0" w:line="276" w:lineRule="auto"/>
              <w:contextualSpacing w:val="0"/>
              <w:jc w:val="left"/>
              <w:rPr>
                <w:rFonts w:eastAsia="Calibri" w:cs="Arial"/>
                <w:color w:val="0163A6"/>
                <w:u w:val="single"/>
              </w:rPr>
            </w:pPr>
          </w:p>
          <w:p w14:paraId="4B13D0DA" w14:textId="77777777" w:rsidR="00F45567" w:rsidRPr="004C6D20" w:rsidRDefault="00F45567" w:rsidP="00F83796">
            <w:pPr>
              <w:spacing w:before="0" w:after="0" w:line="276" w:lineRule="auto"/>
              <w:contextualSpacing w:val="0"/>
              <w:jc w:val="left"/>
              <w:rPr>
                <w:rFonts w:eastAsia="Calibri" w:cs="Arial"/>
                <w:color w:val="000000"/>
              </w:rPr>
            </w:pPr>
          </w:p>
          <w:p w14:paraId="788DDAC6" w14:textId="77777777" w:rsidR="00F45567" w:rsidRPr="004C6D20" w:rsidRDefault="00F45567" w:rsidP="00F83796">
            <w:pPr>
              <w:spacing w:before="0" w:after="0" w:line="276" w:lineRule="auto"/>
              <w:contextualSpacing w:val="0"/>
              <w:jc w:val="left"/>
              <w:rPr>
                <w:rFonts w:eastAsia="Calibri" w:cs="Arial"/>
                <w:color w:val="000000"/>
              </w:rPr>
            </w:pPr>
          </w:p>
          <w:p w14:paraId="51874A8D" w14:textId="77777777" w:rsidR="00F45567" w:rsidRPr="004C6D20" w:rsidRDefault="00F45567" w:rsidP="00F83796">
            <w:pPr>
              <w:spacing w:before="0" w:after="0" w:line="276" w:lineRule="auto"/>
              <w:contextualSpacing w:val="0"/>
              <w:jc w:val="left"/>
              <w:rPr>
                <w:rFonts w:eastAsia="Calibri" w:cs="Arial"/>
                <w:color w:val="000000"/>
              </w:rPr>
            </w:pPr>
          </w:p>
          <w:p w14:paraId="687DF1A3" w14:textId="77777777" w:rsidR="00F45567" w:rsidRPr="004C6D20" w:rsidRDefault="00F45567" w:rsidP="00F83796">
            <w:pPr>
              <w:spacing w:before="0" w:after="0" w:line="276" w:lineRule="auto"/>
              <w:contextualSpacing w:val="0"/>
              <w:jc w:val="left"/>
              <w:rPr>
                <w:rFonts w:eastAsia="Calibri" w:cs="Arial"/>
                <w:color w:val="000000"/>
              </w:rPr>
            </w:pPr>
          </w:p>
          <w:p w14:paraId="799E3125" w14:textId="77777777" w:rsidR="00F45567" w:rsidRPr="004C6D20" w:rsidRDefault="00F45567" w:rsidP="00F83796">
            <w:pPr>
              <w:spacing w:before="0" w:after="0" w:line="276" w:lineRule="auto"/>
              <w:contextualSpacing w:val="0"/>
              <w:jc w:val="left"/>
              <w:rPr>
                <w:rFonts w:eastAsia="Calibri" w:cs="Arial"/>
                <w:color w:val="000000"/>
              </w:rPr>
            </w:pPr>
          </w:p>
          <w:p w14:paraId="6E3B7932" w14:textId="77777777" w:rsidR="00F45567" w:rsidRPr="004C6D20" w:rsidRDefault="00F45567" w:rsidP="00F83796">
            <w:pPr>
              <w:spacing w:before="0" w:after="0" w:line="276" w:lineRule="auto"/>
              <w:contextualSpacing w:val="0"/>
              <w:jc w:val="left"/>
              <w:rPr>
                <w:rFonts w:eastAsia="Calibri" w:cs="Arial"/>
                <w:color w:val="000000"/>
              </w:rPr>
            </w:pPr>
          </w:p>
          <w:p w14:paraId="0A193103" w14:textId="60DBE05F" w:rsidR="00F45567" w:rsidRPr="004C6D20" w:rsidRDefault="00F45567" w:rsidP="00F83796">
            <w:pPr>
              <w:spacing w:before="0" w:after="0" w:line="276" w:lineRule="auto"/>
              <w:contextualSpacing w:val="0"/>
              <w:jc w:val="left"/>
              <w:rPr>
                <w:rFonts w:eastAsia="Calibri" w:cs="Arial"/>
                <w:color w:val="000000"/>
              </w:rPr>
            </w:pPr>
          </w:p>
        </w:tc>
      </w:tr>
    </w:tbl>
    <w:p w14:paraId="76992954" w14:textId="77777777" w:rsidR="008E344B" w:rsidRPr="004C6D20" w:rsidRDefault="008E344B" w:rsidP="00FC400D">
      <w:pPr>
        <w:spacing w:line="240" w:lineRule="auto"/>
        <w:jc w:val="center"/>
        <w:rPr>
          <w:rFonts w:cs="Arial"/>
          <w:sz w:val="28"/>
          <w:szCs w:val="30"/>
        </w:rPr>
      </w:pPr>
    </w:p>
    <w:p w14:paraId="6CD3854E" w14:textId="77777777" w:rsidR="008E344B" w:rsidRPr="004C6D20" w:rsidRDefault="008E344B" w:rsidP="00FC400D">
      <w:pPr>
        <w:spacing w:line="240" w:lineRule="auto"/>
        <w:jc w:val="center"/>
        <w:rPr>
          <w:rFonts w:cs="Arial"/>
          <w:sz w:val="28"/>
          <w:szCs w:val="30"/>
        </w:rPr>
      </w:pPr>
    </w:p>
    <w:p w14:paraId="09AE030A" w14:textId="77777777" w:rsidR="008E344B" w:rsidRPr="004C6D20" w:rsidRDefault="008E344B" w:rsidP="00FC400D">
      <w:pPr>
        <w:spacing w:line="240" w:lineRule="auto"/>
        <w:jc w:val="center"/>
        <w:rPr>
          <w:rFonts w:cs="Arial"/>
          <w:sz w:val="28"/>
          <w:szCs w:val="30"/>
        </w:rPr>
      </w:pPr>
    </w:p>
    <w:p w14:paraId="73B75A4A" w14:textId="77777777" w:rsidR="008E344B" w:rsidRPr="004C6D20" w:rsidRDefault="008E344B" w:rsidP="00FC400D">
      <w:pPr>
        <w:spacing w:line="240" w:lineRule="auto"/>
        <w:jc w:val="center"/>
        <w:rPr>
          <w:rFonts w:cs="Arial"/>
          <w:b/>
          <w:sz w:val="28"/>
          <w:szCs w:val="30"/>
        </w:rPr>
      </w:pPr>
    </w:p>
    <w:p w14:paraId="5C0FC9E8" w14:textId="77777777" w:rsidR="008E344B" w:rsidRPr="004C6D20" w:rsidRDefault="008E344B" w:rsidP="00FC400D">
      <w:pPr>
        <w:spacing w:line="240" w:lineRule="auto"/>
        <w:jc w:val="center"/>
        <w:rPr>
          <w:rFonts w:cs="Arial"/>
          <w:b/>
          <w:sz w:val="28"/>
          <w:szCs w:val="30"/>
        </w:rPr>
      </w:pPr>
    </w:p>
    <w:p w14:paraId="0A6BB4E1" w14:textId="77777777" w:rsidR="00F83796" w:rsidRPr="004C6D20" w:rsidRDefault="00F83796" w:rsidP="00FC400D">
      <w:pPr>
        <w:spacing w:line="240" w:lineRule="auto"/>
        <w:jc w:val="center"/>
        <w:rPr>
          <w:rFonts w:cs="Arial"/>
          <w:b/>
          <w:sz w:val="44"/>
          <w:szCs w:val="44"/>
        </w:rPr>
      </w:pPr>
    </w:p>
    <w:p w14:paraId="6106DC40" w14:textId="77777777" w:rsidR="00F83796" w:rsidRPr="004C6D20" w:rsidRDefault="00F83796" w:rsidP="00FC400D">
      <w:pPr>
        <w:spacing w:line="240" w:lineRule="auto"/>
        <w:jc w:val="center"/>
        <w:rPr>
          <w:rFonts w:cs="Arial"/>
          <w:b/>
          <w:sz w:val="44"/>
          <w:szCs w:val="44"/>
        </w:rPr>
      </w:pPr>
    </w:p>
    <w:p w14:paraId="5F3C6C26" w14:textId="77777777" w:rsidR="00FC400D" w:rsidRPr="004C6D20" w:rsidRDefault="00A15E66" w:rsidP="00FC400D">
      <w:pPr>
        <w:spacing w:line="240" w:lineRule="auto"/>
        <w:jc w:val="center"/>
        <w:rPr>
          <w:rFonts w:cs="Arial"/>
          <w:b/>
          <w:sz w:val="44"/>
          <w:szCs w:val="44"/>
        </w:rPr>
      </w:pPr>
      <w:r w:rsidRPr="004C6D20">
        <w:rPr>
          <w:rFonts w:cs="Arial"/>
          <w:b/>
          <w:sz w:val="44"/>
          <w:szCs w:val="44"/>
        </w:rPr>
        <w:t xml:space="preserve">INFORMACIJA </w:t>
      </w:r>
      <w:r w:rsidR="003D5E2A" w:rsidRPr="004C6D20">
        <w:rPr>
          <w:rFonts w:cs="Arial"/>
          <w:b/>
          <w:sz w:val="44"/>
          <w:szCs w:val="44"/>
        </w:rPr>
        <w:t xml:space="preserve">ZA JAVNOST </w:t>
      </w:r>
      <w:r w:rsidRPr="004C6D20">
        <w:rPr>
          <w:rFonts w:cs="Arial"/>
          <w:b/>
          <w:sz w:val="44"/>
          <w:szCs w:val="44"/>
        </w:rPr>
        <w:t>O VARNOSTNIH UKREPIH IN O RAVNANJU V PRIMERU VEČJE NESREČE</w:t>
      </w:r>
    </w:p>
    <w:p w14:paraId="2C0DD309" w14:textId="77777777" w:rsidR="003D5E2A" w:rsidRPr="004C6D20" w:rsidRDefault="003D5E2A" w:rsidP="00FC400D">
      <w:pPr>
        <w:spacing w:line="240" w:lineRule="auto"/>
        <w:jc w:val="center"/>
        <w:rPr>
          <w:rFonts w:cs="Arial"/>
          <w:b/>
          <w:sz w:val="44"/>
          <w:szCs w:val="44"/>
        </w:rPr>
      </w:pPr>
    </w:p>
    <w:p w14:paraId="2965C2F5" w14:textId="77777777" w:rsidR="003C392F" w:rsidRPr="004C6D20" w:rsidRDefault="003C392F" w:rsidP="00FC400D">
      <w:pPr>
        <w:spacing w:line="240" w:lineRule="auto"/>
        <w:jc w:val="center"/>
        <w:rPr>
          <w:rFonts w:cs="Arial"/>
          <w:sz w:val="32"/>
          <w:szCs w:val="30"/>
        </w:rPr>
      </w:pPr>
    </w:p>
    <w:p w14:paraId="3FF4FDCE" w14:textId="77777777" w:rsidR="003C392F" w:rsidRPr="004C6D20" w:rsidRDefault="003C392F" w:rsidP="00FC400D">
      <w:pPr>
        <w:spacing w:line="240" w:lineRule="auto"/>
        <w:jc w:val="center"/>
        <w:rPr>
          <w:rFonts w:cs="Arial"/>
          <w:sz w:val="32"/>
          <w:szCs w:val="30"/>
        </w:rPr>
      </w:pPr>
    </w:p>
    <w:p w14:paraId="34B9A8A5" w14:textId="77777777" w:rsidR="00FC400D" w:rsidRPr="004C6D20" w:rsidRDefault="00FC400D" w:rsidP="00FC400D">
      <w:pPr>
        <w:spacing w:line="240" w:lineRule="auto"/>
        <w:rPr>
          <w:rFonts w:cs="Arial"/>
          <w:sz w:val="20"/>
          <w:szCs w:val="20"/>
        </w:rPr>
      </w:pPr>
    </w:p>
    <w:p w14:paraId="51878F7E" w14:textId="77777777" w:rsidR="00FC400D" w:rsidRPr="004C6D20" w:rsidRDefault="00FC400D" w:rsidP="00FC400D">
      <w:pPr>
        <w:spacing w:line="240" w:lineRule="auto"/>
        <w:rPr>
          <w:rFonts w:cs="Arial"/>
          <w:sz w:val="20"/>
          <w:szCs w:val="20"/>
        </w:rPr>
      </w:pPr>
    </w:p>
    <w:p w14:paraId="5898AE89" w14:textId="77777777" w:rsidR="00FC400D" w:rsidRPr="004C6D20" w:rsidRDefault="00FC400D" w:rsidP="00FC400D">
      <w:pPr>
        <w:spacing w:line="240" w:lineRule="auto"/>
        <w:rPr>
          <w:rFonts w:cs="Arial"/>
          <w:sz w:val="18"/>
          <w:szCs w:val="20"/>
        </w:rPr>
      </w:pPr>
    </w:p>
    <w:p w14:paraId="746CAED5" w14:textId="77777777" w:rsidR="00FC400D" w:rsidRPr="004C6D20" w:rsidRDefault="00FC400D" w:rsidP="00FC400D">
      <w:pPr>
        <w:spacing w:line="240" w:lineRule="auto"/>
        <w:jc w:val="center"/>
        <w:rPr>
          <w:rFonts w:cs="Arial"/>
          <w:sz w:val="18"/>
          <w:szCs w:val="20"/>
        </w:rPr>
      </w:pPr>
    </w:p>
    <w:p w14:paraId="087C2542" w14:textId="77777777" w:rsidR="00FC400D" w:rsidRPr="004C6D20" w:rsidRDefault="00FC400D" w:rsidP="00FC400D">
      <w:pPr>
        <w:spacing w:line="240" w:lineRule="auto"/>
        <w:jc w:val="center"/>
        <w:rPr>
          <w:rFonts w:cs="Arial"/>
          <w:sz w:val="18"/>
          <w:szCs w:val="20"/>
        </w:rPr>
      </w:pPr>
    </w:p>
    <w:p w14:paraId="1DADFC77" w14:textId="77777777" w:rsidR="00FC400D" w:rsidRPr="004C6D20" w:rsidRDefault="00FC400D" w:rsidP="00FC400D">
      <w:pPr>
        <w:spacing w:line="240" w:lineRule="auto"/>
        <w:jc w:val="center"/>
        <w:rPr>
          <w:rFonts w:cs="Arial"/>
          <w:sz w:val="18"/>
          <w:szCs w:val="20"/>
        </w:rPr>
      </w:pPr>
    </w:p>
    <w:p w14:paraId="36BB3081" w14:textId="77777777" w:rsidR="00FC400D" w:rsidRPr="004C6D20" w:rsidRDefault="00FC400D" w:rsidP="00FC400D">
      <w:pPr>
        <w:spacing w:line="240" w:lineRule="auto"/>
        <w:jc w:val="center"/>
        <w:rPr>
          <w:rFonts w:cs="Arial"/>
          <w:sz w:val="18"/>
          <w:szCs w:val="20"/>
        </w:rPr>
      </w:pPr>
    </w:p>
    <w:p w14:paraId="4640A572" w14:textId="77777777" w:rsidR="00FC400D" w:rsidRPr="004C6D20" w:rsidRDefault="00FC400D" w:rsidP="00FC400D">
      <w:pPr>
        <w:spacing w:line="240" w:lineRule="auto"/>
        <w:jc w:val="center"/>
        <w:rPr>
          <w:rFonts w:cs="Arial"/>
          <w:sz w:val="18"/>
          <w:szCs w:val="20"/>
        </w:rPr>
      </w:pPr>
    </w:p>
    <w:p w14:paraId="3917E56D" w14:textId="77777777" w:rsidR="00FC400D" w:rsidRPr="004C6D20" w:rsidRDefault="00FC400D" w:rsidP="00FC400D">
      <w:pPr>
        <w:spacing w:line="240" w:lineRule="auto"/>
        <w:jc w:val="center"/>
        <w:rPr>
          <w:rFonts w:cs="Arial"/>
          <w:sz w:val="18"/>
          <w:szCs w:val="20"/>
        </w:rPr>
      </w:pPr>
    </w:p>
    <w:p w14:paraId="64C9465C" w14:textId="77777777" w:rsidR="003C392F" w:rsidRPr="004C6D20" w:rsidRDefault="003C392F" w:rsidP="00FC400D">
      <w:pPr>
        <w:spacing w:line="240" w:lineRule="auto"/>
        <w:jc w:val="center"/>
        <w:rPr>
          <w:rFonts w:cs="Arial"/>
          <w:sz w:val="18"/>
          <w:szCs w:val="20"/>
        </w:rPr>
      </w:pPr>
    </w:p>
    <w:p w14:paraId="189D275E" w14:textId="77777777" w:rsidR="003C392F" w:rsidRPr="004C6D20" w:rsidRDefault="003C392F" w:rsidP="00FC400D">
      <w:pPr>
        <w:spacing w:line="240" w:lineRule="auto"/>
        <w:jc w:val="center"/>
        <w:rPr>
          <w:rFonts w:cs="Arial"/>
          <w:sz w:val="18"/>
          <w:szCs w:val="20"/>
        </w:rPr>
      </w:pPr>
    </w:p>
    <w:p w14:paraId="5FFC02DC" w14:textId="77777777" w:rsidR="003C392F" w:rsidRPr="004C6D20" w:rsidRDefault="003C392F" w:rsidP="00FC400D">
      <w:pPr>
        <w:spacing w:line="240" w:lineRule="auto"/>
        <w:jc w:val="center"/>
        <w:rPr>
          <w:rFonts w:cs="Arial"/>
          <w:sz w:val="18"/>
          <w:szCs w:val="20"/>
        </w:rPr>
      </w:pPr>
    </w:p>
    <w:p w14:paraId="62069739" w14:textId="77777777" w:rsidR="003C392F" w:rsidRPr="004C6D20" w:rsidRDefault="003C392F" w:rsidP="00FC400D">
      <w:pPr>
        <w:spacing w:line="240" w:lineRule="auto"/>
        <w:jc w:val="center"/>
        <w:rPr>
          <w:rFonts w:cs="Arial"/>
          <w:sz w:val="18"/>
          <w:szCs w:val="20"/>
        </w:rPr>
      </w:pPr>
    </w:p>
    <w:p w14:paraId="31E455BA" w14:textId="77777777" w:rsidR="003C392F" w:rsidRPr="004C6D20" w:rsidRDefault="003C392F" w:rsidP="00FC400D">
      <w:pPr>
        <w:spacing w:line="240" w:lineRule="auto"/>
        <w:jc w:val="center"/>
        <w:rPr>
          <w:rFonts w:cs="Arial"/>
          <w:sz w:val="18"/>
          <w:szCs w:val="20"/>
        </w:rPr>
      </w:pPr>
    </w:p>
    <w:p w14:paraId="1FB98941" w14:textId="77777777" w:rsidR="003C392F" w:rsidRPr="004C6D20" w:rsidRDefault="003C392F" w:rsidP="00FC400D">
      <w:pPr>
        <w:spacing w:line="240" w:lineRule="auto"/>
        <w:jc w:val="center"/>
        <w:rPr>
          <w:rFonts w:cs="Arial"/>
          <w:sz w:val="18"/>
          <w:szCs w:val="20"/>
        </w:rPr>
      </w:pPr>
    </w:p>
    <w:p w14:paraId="2BD33D6F" w14:textId="77777777" w:rsidR="003C392F" w:rsidRPr="004C6D20" w:rsidRDefault="003C392F" w:rsidP="00FC400D">
      <w:pPr>
        <w:spacing w:line="240" w:lineRule="auto"/>
        <w:jc w:val="center"/>
        <w:rPr>
          <w:rFonts w:cs="Arial"/>
          <w:sz w:val="18"/>
          <w:szCs w:val="20"/>
        </w:rPr>
      </w:pPr>
    </w:p>
    <w:p w14:paraId="61E8955A" w14:textId="77777777" w:rsidR="003C392F" w:rsidRPr="004C6D20" w:rsidRDefault="003C392F" w:rsidP="00FC400D">
      <w:pPr>
        <w:spacing w:line="240" w:lineRule="auto"/>
        <w:jc w:val="center"/>
        <w:rPr>
          <w:rFonts w:cs="Arial"/>
          <w:sz w:val="18"/>
          <w:szCs w:val="20"/>
        </w:rPr>
      </w:pPr>
    </w:p>
    <w:p w14:paraId="32B68938" w14:textId="77777777" w:rsidR="003C392F" w:rsidRPr="004C6D20" w:rsidRDefault="003C392F" w:rsidP="00FC400D">
      <w:pPr>
        <w:spacing w:line="240" w:lineRule="auto"/>
        <w:jc w:val="center"/>
        <w:rPr>
          <w:rFonts w:cs="Arial"/>
          <w:sz w:val="18"/>
          <w:szCs w:val="20"/>
        </w:rPr>
      </w:pPr>
    </w:p>
    <w:p w14:paraId="1FBAF5EC" w14:textId="77777777" w:rsidR="003C392F" w:rsidRPr="004C6D20" w:rsidRDefault="003C392F" w:rsidP="00FC400D">
      <w:pPr>
        <w:spacing w:line="240" w:lineRule="auto"/>
        <w:jc w:val="center"/>
        <w:rPr>
          <w:rFonts w:cs="Arial"/>
          <w:sz w:val="18"/>
          <w:szCs w:val="20"/>
        </w:rPr>
      </w:pPr>
    </w:p>
    <w:p w14:paraId="62792AA3" w14:textId="77777777" w:rsidR="003C392F" w:rsidRPr="004C6D20" w:rsidRDefault="003C392F" w:rsidP="00FC400D">
      <w:pPr>
        <w:spacing w:line="240" w:lineRule="auto"/>
        <w:jc w:val="center"/>
        <w:rPr>
          <w:rFonts w:cs="Arial"/>
          <w:sz w:val="18"/>
          <w:szCs w:val="20"/>
        </w:rPr>
      </w:pPr>
    </w:p>
    <w:p w14:paraId="21738AC5" w14:textId="77777777" w:rsidR="003C392F" w:rsidRPr="004C6D20" w:rsidRDefault="003C392F" w:rsidP="00FC400D">
      <w:pPr>
        <w:spacing w:line="240" w:lineRule="auto"/>
        <w:jc w:val="center"/>
        <w:rPr>
          <w:rFonts w:cs="Arial"/>
          <w:sz w:val="18"/>
          <w:szCs w:val="20"/>
        </w:rPr>
      </w:pPr>
    </w:p>
    <w:p w14:paraId="689F6A7A" w14:textId="77777777" w:rsidR="003C392F" w:rsidRPr="004C6D20" w:rsidRDefault="003C392F" w:rsidP="00FC400D">
      <w:pPr>
        <w:spacing w:line="240" w:lineRule="auto"/>
        <w:jc w:val="center"/>
        <w:rPr>
          <w:rFonts w:cs="Arial"/>
          <w:sz w:val="18"/>
          <w:szCs w:val="20"/>
        </w:rPr>
      </w:pPr>
    </w:p>
    <w:p w14:paraId="46C4AC07" w14:textId="77777777" w:rsidR="003C392F" w:rsidRPr="004C6D20" w:rsidRDefault="003C392F" w:rsidP="00FC400D">
      <w:pPr>
        <w:spacing w:line="240" w:lineRule="auto"/>
        <w:jc w:val="center"/>
        <w:rPr>
          <w:rFonts w:cs="Arial"/>
          <w:sz w:val="18"/>
          <w:szCs w:val="20"/>
        </w:rPr>
      </w:pPr>
    </w:p>
    <w:p w14:paraId="02085CFE" w14:textId="77777777" w:rsidR="003C392F" w:rsidRPr="004C6D20" w:rsidRDefault="003C392F" w:rsidP="00FC400D">
      <w:pPr>
        <w:spacing w:line="240" w:lineRule="auto"/>
        <w:jc w:val="center"/>
        <w:rPr>
          <w:rFonts w:cs="Arial"/>
          <w:sz w:val="18"/>
          <w:szCs w:val="20"/>
        </w:rPr>
      </w:pPr>
    </w:p>
    <w:p w14:paraId="15E42496" w14:textId="77777777" w:rsidR="003C392F" w:rsidRPr="004C6D20" w:rsidRDefault="003C392F" w:rsidP="00A15E66">
      <w:pPr>
        <w:spacing w:line="240" w:lineRule="auto"/>
        <w:rPr>
          <w:rFonts w:cs="Arial"/>
          <w:sz w:val="18"/>
          <w:szCs w:val="20"/>
        </w:rPr>
      </w:pPr>
    </w:p>
    <w:p w14:paraId="6C5C5DB1" w14:textId="77777777" w:rsidR="003C392F" w:rsidRPr="004C6D20" w:rsidRDefault="003C392F" w:rsidP="00FC400D">
      <w:pPr>
        <w:spacing w:line="240" w:lineRule="auto"/>
        <w:jc w:val="center"/>
        <w:rPr>
          <w:rFonts w:cs="Arial"/>
          <w:sz w:val="18"/>
          <w:szCs w:val="20"/>
        </w:rPr>
      </w:pPr>
    </w:p>
    <w:p w14:paraId="2E833FEB" w14:textId="77777777" w:rsidR="00F83796" w:rsidRPr="004C6D20" w:rsidRDefault="00F83796" w:rsidP="00FC400D">
      <w:pPr>
        <w:spacing w:line="240" w:lineRule="auto"/>
        <w:jc w:val="center"/>
        <w:rPr>
          <w:rFonts w:cs="Arial"/>
          <w:sz w:val="18"/>
          <w:szCs w:val="20"/>
        </w:rPr>
      </w:pPr>
    </w:p>
    <w:p w14:paraId="7C37F482" w14:textId="77777777" w:rsidR="00F83796" w:rsidRPr="004C6D20" w:rsidRDefault="00F83796" w:rsidP="00FC400D">
      <w:pPr>
        <w:spacing w:line="240" w:lineRule="auto"/>
        <w:jc w:val="center"/>
        <w:rPr>
          <w:rFonts w:cs="Arial"/>
          <w:sz w:val="18"/>
          <w:szCs w:val="20"/>
        </w:rPr>
      </w:pPr>
    </w:p>
    <w:p w14:paraId="09AC0CC6" w14:textId="00455D7D" w:rsidR="00FC400D" w:rsidRPr="004C6D20" w:rsidRDefault="00FC400D" w:rsidP="00FC400D">
      <w:pPr>
        <w:spacing w:line="240" w:lineRule="auto"/>
        <w:jc w:val="center"/>
        <w:rPr>
          <w:rFonts w:cs="Arial"/>
          <w:szCs w:val="20"/>
        </w:rPr>
      </w:pPr>
      <w:r w:rsidRPr="004C6D20">
        <w:rPr>
          <w:rFonts w:cs="Arial"/>
          <w:szCs w:val="20"/>
        </w:rPr>
        <w:t xml:space="preserve">Ljubljana, </w:t>
      </w:r>
      <w:r w:rsidR="00871A15">
        <w:rPr>
          <w:rFonts w:cs="Arial"/>
          <w:szCs w:val="20"/>
        </w:rPr>
        <w:t>junij</w:t>
      </w:r>
      <w:r w:rsidR="0006174B" w:rsidRPr="004C6D20">
        <w:rPr>
          <w:rFonts w:cs="Arial"/>
          <w:szCs w:val="20"/>
        </w:rPr>
        <w:t xml:space="preserve"> </w:t>
      </w:r>
      <w:r w:rsidR="006E6C29" w:rsidRPr="004C6D20">
        <w:rPr>
          <w:rFonts w:cs="Arial"/>
          <w:szCs w:val="20"/>
        </w:rPr>
        <w:t>20</w:t>
      </w:r>
      <w:r w:rsidR="000338F8" w:rsidRPr="004C6D20">
        <w:rPr>
          <w:rFonts w:cs="Arial"/>
          <w:szCs w:val="20"/>
        </w:rPr>
        <w:t>2</w:t>
      </w:r>
      <w:r w:rsidR="00871A15">
        <w:rPr>
          <w:rFonts w:cs="Arial"/>
          <w:szCs w:val="20"/>
        </w:rPr>
        <w:t>4</w:t>
      </w:r>
    </w:p>
    <w:p w14:paraId="2872D0FD" w14:textId="77777777" w:rsidR="00BF3858" w:rsidRPr="004C6D20" w:rsidRDefault="00BF3858" w:rsidP="00BF3858">
      <w:pPr>
        <w:rPr>
          <w:rFonts w:cs="Arial"/>
        </w:rPr>
      </w:pPr>
    </w:p>
    <w:p w14:paraId="57C83135" w14:textId="4DC84B51" w:rsidR="00CE125A" w:rsidRPr="00202713" w:rsidRDefault="00BF3858" w:rsidP="001D0D76">
      <w:pPr>
        <w:spacing w:before="0" w:after="0" w:line="240" w:lineRule="auto"/>
        <w:rPr>
          <w:rFonts w:cs="Arial"/>
        </w:rPr>
      </w:pPr>
      <w:r w:rsidRPr="00202713">
        <w:rPr>
          <w:rFonts w:cs="Arial"/>
        </w:rPr>
        <w:lastRenderedPageBreak/>
        <w:t xml:space="preserve">Na podlagi </w:t>
      </w:r>
      <w:hyperlink r:id="rId10" w:history="1">
        <w:r w:rsidRPr="00202713">
          <w:rPr>
            <w:rStyle w:val="Hiperpovezava"/>
            <w:rFonts w:cs="Arial"/>
          </w:rPr>
          <w:t>Uredbe o preprečevanju večjih nesreč in zmanjševanju njihovih posledic</w:t>
        </w:r>
      </w:hyperlink>
      <w:r w:rsidR="003923E2" w:rsidRPr="00202713">
        <w:rPr>
          <w:rFonts w:cs="Arial"/>
        </w:rPr>
        <w:t xml:space="preserve"> </w:t>
      </w:r>
      <w:r w:rsidRPr="00202713">
        <w:rPr>
          <w:rFonts w:cs="Arial"/>
        </w:rPr>
        <w:t>(v nadaljevanju Uredb</w:t>
      </w:r>
      <w:r w:rsidR="00CE125A" w:rsidRPr="00202713">
        <w:rPr>
          <w:rFonts w:cs="Arial"/>
        </w:rPr>
        <w:t>a</w:t>
      </w:r>
      <w:r w:rsidRPr="00202713">
        <w:rPr>
          <w:rFonts w:cs="Arial"/>
        </w:rPr>
        <w:t xml:space="preserve">) </w:t>
      </w:r>
      <w:r w:rsidR="00CE125A" w:rsidRPr="00202713">
        <w:rPr>
          <w:rFonts w:cs="Arial"/>
        </w:rPr>
        <w:t>družba Energetika Ljubljana, d.o.o., podaja informacijo o varnostnih ukrepih za enoto TE-TOL, Toplarniška ulica 19,</w:t>
      </w:r>
      <w:r w:rsidR="00CB0C23" w:rsidRPr="00202713">
        <w:rPr>
          <w:rFonts w:cs="Arial"/>
        </w:rPr>
        <w:t xml:space="preserve"> 1000</w:t>
      </w:r>
      <w:r w:rsidR="00CE125A" w:rsidRPr="00202713">
        <w:rPr>
          <w:rFonts w:cs="Arial"/>
        </w:rPr>
        <w:t xml:space="preserve"> Ljubljana</w:t>
      </w:r>
      <w:r w:rsidR="00B10D67" w:rsidRPr="00202713">
        <w:rPr>
          <w:rFonts w:cs="Arial"/>
        </w:rPr>
        <w:t xml:space="preserve"> (v nadaljevanju; enota TE-TOL)</w:t>
      </w:r>
      <w:r w:rsidR="00CE125A" w:rsidRPr="00202713">
        <w:rPr>
          <w:rFonts w:cs="Arial"/>
        </w:rPr>
        <w:t>.</w:t>
      </w:r>
    </w:p>
    <w:p w14:paraId="36149A0B" w14:textId="44C60E9E" w:rsidR="00BF3858" w:rsidRDefault="00BF3858" w:rsidP="00BF3858">
      <w:pPr>
        <w:spacing w:before="0" w:after="0"/>
        <w:rPr>
          <w:rFonts w:cs="Arial"/>
          <w:sz w:val="18"/>
          <w:szCs w:val="20"/>
        </w:rPr>
      </w:pPr>
    </w:p>
    <w:p w14:paraId="7D2BA567" w14:textId="77777777" w:rsidR="00E66C90" w:rsidRPr="00202713" w:rsidRDefault="00E66C90" w:rsidP="00BF3858">
      <w:pPr>
        <w:spacing w:before="0" w:after="0"/>
        <w:rPr>
          <w:rFonts w:cs="Arial"/>
          <w:sz w:val="18"/>
          <w:szCs w:val="20"/>
        </w:rPr>
      </w:pPr>
    </w:p>
    <w:tbl>
      <w:tblPr>
        <w:tblStyle w:val="Tabelamrea"/>
        <w:tblpPr w:leftFromText="141" w:rightFromText="141" w:vertAnchor="text" w:horzAnchor="margin" w:tblpY="50"/>
        <w:tblW w:w="8897" w:type="dxa"/>
        <w:shd w:val="pct20" w:color="548DD4" w:themeColor="text2" w:themeTint="99" w:fill="auto"/>
        <w:tblLook w:val="04A0" w:firstRow="1" w:lastRow="0" w:firstColumn="1" w:lastColumn="0" w:noHBand="0" w:noVBand="1"/>
      </w:tblPr>
      <w:tblGrid>
        <w:gridCol w:w="8897"/>
      </w:tblGrid>
      <w:tr w:rsidR="00BF3858" w:rsidRPr="00202713" w14:paraId="255870E0" w14:textId="77777777" w:rsidTr="001427CF">
        <w:tc>
          <w:tcPr>
            <w:tcW w:w="8897" w:type="dxa"/>
            <w:shd w:val="pct20" w:color="548DD4" w:themeColor="text2" w:themeTint="99" w:fill="auto"/>
          </w:tcPr>
          <w:p w14:paraId="4F665F07" w14:textId="77777777" w:rsidR="00BF3858" w:rsidRPr="00202713" w:rsidRDefault="00BF3858" w:rsidP="00BF3858">
            <w:pPr>
              <w:pStyle w:val="Naslovnavrsticatabele"/>
              <w:rPr>
                <w:sz w:val="26"/>
                <w:szCs w:val="26"/>
              </w:rPr>
            </w:pPr>
            <w:r w:rsidRPr="00202713">
              <w:rPr>
                <w:sz w:val="26"/>
                <w:szCs w:val="26"/>
              </w:rPr>
              <w:t>IME IN SEDEŽ OBRATA</w:t>
            </w:r>
          </w:p>
        </w:tc>
      </w:tr>
    </w:tbl>
    <w:p w14:paraId="4CEF1957" w14:textId="77777777" w:rsidR="00A15E66" w:rsidRPr="00202713" w:rsidRDefault="00A15E66" w:rsidP="001D0D76">
      <w:pPr>
        <w:spacing w:before="0" w:after="0" w:line="240" w:lineRule="auto"/>
        <w:rPr>
          <w:rFonts w:cs="Arial"/>
        </w:rPr>
      </w:pPr>
    </w:p>
    <w:p w14:paraId="0BAC01E4" w14:textId="69155794" w:rsidR="00A15E66" w:rsidRPr="00202713" w:rsidRDefault="00A15E66" w:rsidP="001D0D76">
      <w:pPr>
        <w:spacing w:before="0" w:after="0" w:line="240" w:lineRule="auto"/>
        <w:rPr>
          <w:rFonts w:cs="Arial"/>
        </w:rPr>
      </w:pPr>
      <w:r w:rsidRPr="00202713">
        <w:rPr>
          <w:rFonts w:cs="Arial"/>
          <w:b/>
        </w:rPr>
        <w:t>Ime upravljavca obrata:</w:t>
      </w:r>
      <w:r w:rsidRPr="00202713">
        <w:rPr>
          <w:rFonts w:cs="Arial"/>
        </w:rPr>
        <w:t xml:space="preserve"> </w:t>
      </w:r>
      <w:r w:rsidR="00FC400D" w:rsidRPr="00202713">
        <w:rPr>
          <w:rFonts w:cs="Arial"/>
        </w:rPr>
        <w:t>Javno podje</w:t>
      </w:r>
      <w:r w:rsidRPr="00202713">
        <w:rPr>
          <w:rFonts w:cs="Arial"/>
        </w:rPr>
        <w:t>tje Energetika Ljubljana</w:t>
      </w:r>
      <w:r w:rsidR="00BA36E7" w:rsidRPr="00202713">
        <w:rPr>
          <w:rFonts w:cs="Arial"/>
        </w:rPr>
        <w:t>,</w:t>
      </w:r>
      <w:r w:rsidRPr="00202713">
        <w:rPr>
          <w:rFonts w:cs="Arial"/>
        </w:rPr>
        <w:t xml:space="preserve"> d.o.o.</w:t>
      </w:r>
      <w:r w:rsidR="007F14F5" w:rsidRPr="00202713">
        <w:rPr>
          <w:rFonts w:cs="Arial"/>
        </w:rPr>
        <w:t xml:space="preserve"> </w:t>
      </w:r>
      <w:r w:rsidRPr="00202713">
        <w:rPr>
          <w:rFonts w:cs="Arial"/>
        </w:rPr>
        <w:t>(v nadaljnjem besedilu</w:t>
      </w:r>
      <w:r w:rsidR="00CE125A" w:rsidRPr="00202713">
        <w:rPr>
          <w:rFonts w:cs="Arial"/>
        </w:rPr>
        <w:t>;</w:t>
      </w:r>
      <w:r w:rsidRPr="00202713">
        <w:rPr>
          <w:rFonts w:cs="Arial"/>
        </w:rPr>
        <w:t xml:space="preserve"> </w:t>
      </w:r>
      <w:r w:rsidR="00A117E2" w:rsidRPr="00202713">
        <w:rPr>
          <w:rFonts w:cs="Arial"/>
        </w:rPr>
        <w:t>Energetika Ljubljana</w:t>
      </w:r>
      <w:r w:rsidRPr="00202713">
        <w:rPr>
          <w:rFonts w:cs="Arial"/>
        </w:rPr>
        <w:t>)</w:t>
      </w:r>
    </w:p>
    <w:p w14:paraId="60D12ECA" w14:textId="77777777" w:rsidR="003923E2" w:rsidRPr="00202713" w:rsidRDefault="003923E2" w:rsidP="001D0D76">
      <w:pPr>
        <w:spacing w:before="0" w:after="0" w:line="240" w:lineRule="auto"/>
        <w:rPr>
          <w:rFonts w:cs="Arial"/>
        </w:rPr>
      </w:pPr>
    </w:p>
    <w:p w14:paraId="53FCE69B" w14:textId="727E4B2D" w:rsidR="00FC400D" w:rsidRPr="00202713" w:rsidRDefault="00A15E66" w:rsidP="001D0D76">
      <w:pPr>
        <w:spacing w:before="0" w:after="0" w:line="240" w:lineRule="auto"/>
        <w:rPr>
          <w:rFonts w:cs="Arial"/>
        </w:rPr>
      </w:pPr>
      <w:r w:rsidRPr="00202713">
        <w:rPr>
          <w:rFonts w:cs="Arial"/>
          <w:b/>
        </w:rPr>
        <w:t>Sedež upravljavca obrata:</w:t>
      </w:r>
      <w:r w:rsidRPr="00202713">
        <w:rPr>
          <w:rFonts w:cs="Arial"/>
        </w:rPr>
        <w:t xml:space="preserve"> Verovškova </w:t>
      </w:r>
      <w:r w:rsidR="00AE7C82" w:rsidRPr="00202713">
        <w:rPr>
          <w:rFonts w:cs="Arial"/>
        </w:rPr>
        <w:t xml:space="preserve">ulica </w:t>
      </w:r>
      <w:r w:rsidRPr="00202713">
        <w:rPr>
          <w:rFonts w:cs="Arial"/>
        </w:rPr>
        <w:t>62, 1000 Ljubljana</w:t>
      </w:r>
    </w:p>
    <w:p w14:paraId="28279F61" w14:textId="755FFEBA" w:rsidR="00A15E66" w:rsidRDefault="00A15E66" w:rsidP="001D0D76">
      <w:pPr>
        <w:spacing w:before="0" w:after="0" w:line="240" w:lineRule="auto"/>
        <w:rPr>
          <w:rFonts w:cs="Arial"/>
        </w:rPr>
      </w:pPr>
    </w:p>
    <w:p w14:paraId="7EBC0E3E" w14:textId="77777777" w:rsidR="00E66C90" w:rsidRPr="00202713" w:rsidRDefault="00E66C90"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A15E66" w:rsidRPr="00202713" w14:paraId="67D59CC1" w14:textId="77777777" w:rsidTr="001427CF">
        <w:tc>
          <w:tcPr>
            <w:tcW w:w="8897" w:type="dxa"/>
            <w:shd w:val="pct20" w:color="548DD4" w:themeColor="text2" w:themeTint="99" w:fill="auto"/>
          </w:tcPr>
          <w:p w14:paraId="131A0244" w14:textId="77777777" w:rsidR="00A15E66" w:rsidRPr="00202713" w:rsidRDefault="009D1F92" w:rsidP="00A15E66">
            <w:pPr>
              <w:pStyle w:val="Naslovnavrsticatabele"/>
              <w:rPr>
                <w:sz w:val="26"/>
                <w:szCs w:val="26"/>
              </w:rPr>
            </w:pPr>
            <w:r w:rsidRPr="00202713">
              <w:rPr>
                <w:sz w:val="26"/>
                <w:szCs w:val="26"/>
              </w:rPr>
              <w:t>NASLOV OBRATA</w:t>
            </w:r>
            <w:r w:rsidR="000309ED" w:rsidRPr="00202713">
              <w:rPr>
                <w:sz w:val="26"/>
                <w:szCs w:val="26"/>
              </w:rPr>
              <w:t xml:space="preserve"> in DRUGI KONTAKTNI PODATKI</w:t>
            </w:r>
          </w:p>
        </w:tc>
      </w:tr>
    </w:tbl>
    <w:p w14:paraId="08EB7ED8" w14:textId="77777777" w:rsidR="00A15E66" w:rsidRPr="00202713" w:rsidRDefault="00A15E66" w:rsidP="001D0D76">
      <w:pPr>
        <w:spacing w:before="0" w:after="0" w:line="240" w:lineRule="auto"/>
        <w:rPr>
          <w:rFonts w:cs="Arial"/>
        </w:rPr>
      </w:pPr>
    </w:p>
    <w:p w14:paraId="4D6DD911" w14:textId="2410B50E" w:rsidR="00F20E31" w:rsidRPr="00202713" w:rsidRDefault="00F20E31" w:rsidP="00F20E31">
      <w:pPr>
        <w:rPr>
          <w:rFonts w:cs="Arial"/>
        </w:rPr>
      </w:pPr>
      <w:r w:rsidRPr="00202713">
        <w:rPr>
          <w:rFonts w:cs="Arial"/>
          <w:b/>
        </w:rPr>
        <w:t>Javno podjetje Energetika Ljubljana</w:t>
      </w:r>
      <w:r w:rsidR="00BA36E7" w:rsidRPr="00202713">
        <w:rPr>
          <w:rFonts w:cs="Arial"/>
          <w:b/>
        </w:rPr>
        <w:t>,</w:t>
      </w:r>
      <w:r w:rsidRPr="00202713">
        <w:rPr>
          <w:rFonts w:cs="Arial"/>
          <w:b/>
        </w:rPr>
        <w:t xml:space="preserve"> d.o.o., enota TE-TOL</w:t>
      </w:r>
      <w:r w:rsidRPr="00202713">
        <w:rPr>
          <w:rFonts w:cs="Arial"/>
        </w:rPr>
        <w:t xml:space="preserve">, </w:t>
      </w:r>
    </w:p>
    <w:p w14:paraId="0A2D4EA6" w14:textId="17FE4DBA" w:rsidR="00CE125A" w:rsidRPr="00202713" w:rsidRDefault="00CE125A" w:rsidP="000309ED">
      <w:pPr>
        <w:rPr>
          <w:rFonts w:cs="Arial"/>
          <w:sz w:val="20"/>
        </w:rPr>
      </w:pPr>
      <w:r w:rsidRPr="00202713">
        <w:rPr>
          <w:rFonts w:cs="Arial"/>
          <w:b/>
        </w:rPr>
        <w:t>Toplarniška ulica 19, 1000 Ljubljana</w:t>
      </w:r>
      <w:r w:rsidRPr="00202713">
        <w:rPr>
          <w:rFonts w:cs="Arial"/>
          <w:sz w:val="20"/>
        </w:rPr>
        <w:t xml:space="preserve"> </w:t>
      </w:r>
    </w:p>
    <w:p w14:paraId="072EF83F" w14:textId="77777777" w:rsidR="000309ED" w:rsidRPr="00202713" w:rsidRDefault="000309ED" w:rsidP="000309ED">
      <w:pPr>
        <w:rPr>
          <w:rFonts w:cs="Arial"/>
          <w:sz w:val="20"/>
        </w:rPr>
      </w:pPr>
      <w:r w:rsidRPr="00202713">
        <w:rPr>
          <w:rFonts w:cs="Arial"/>
          <w:sz w:val="20"/>
        </w:rPr>
        <w:t>Tel</w:t>
      </w:r>
      <w:r w:rsidR="00B10D67" w:rsidRPr="00202713">
        <w:rPr>
          <w:rFonts w:cs="Arial"/>
          <w:sz w:val="20"/>
        </w:rPr>
        <w:t>.</w:t>
      </w:r>
      <w:r w:rsidRPr="00202713">
        <w:rPr>
          <w:rFonts w:cs="Arial"/>
          <w:sz w:val="20"/>
        </w:rPr>
        <w:t>: 01/58</w:t>
      </w:r>
      <w:r w:rsidR="00CE125A" w:rsidRPr="00202713">
        <w:rPr>
          <w:rFonts w:cs="Arial"/>
          <w:sz w:val="20"/>
        </w:rPr>
        <w:t>7 52 00</w:t>
      </w:r>
    </w:p>
    <w:p w14:paraId="139097CE" w14:textId="36A9A078" w:rsidR="000309ED" w:rsidRPr="004C6D20" w:rsidRDefault="000309ED" w:rsidP="000309ED">
      <w:pPr>
        <w:rPr>
          <w:rFonts w:cs="Arial"/>
          <w:sz w:val="20"/>
        </w:rPr>
      </w:pPr>
      <w:r w:rsidRPr="00202713">
        <w:rPr>
          <w:rFonts w:cs="Arial"/>
          <w:sz w:val="20"/>
        </w:rPr>
        <w:t xml:space="preserve">E-pošta: </w:t>
      </w:r>
      <w:hyperlink r:id="rId11" w:history="1">
        <w:r w:rsidR="00F45567" w:rsidRPr="00202713">
          <w:rPr>
            <w:rStyle w:val="Hiperpovezava"/>
            <w:rFonts w:cs="Arial"/>
            <w:sz w:val="20"/>
          </w:rPr>
          <w:t>info@energetika.si</w:t>
        </w:r>
      </w:hyperlink>
    </w:p>
    <w:p w14:paraId="2D1C83A4" w14:textId="1C8CD9B4" w:rsidR="009D1F92" w:rsidRDefault="009D1F92" w:rsidP="001D0D76">
      <w:pPr>
        <w:spacing w:before="0" w:after="0" w:line="240" w:lineRule="auto"/>
        <w:rPr>
          <w:rFonts w:cs="Arial"/>
        </w:rPr>
      </w:pPr>
    </w:p>
    <w:p w14:paraId="628886BC" w14:textId="77777777" w:rsidR="00E66C90" w:rsidRDefault="00E66C90"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778E45B9" w14:textId="77777777" w:rsidTr="00234C31">
        <w:tc>
          <w:tcPr>
            <w:tcW w:w="8897" w:type="dxa"/>
            <w:shd w:val="pct20" w:color="548DD4" w:themeColor="text2" w:themeTint="99" w:fill="auto"/>
          </w:tcPr>
          <w:p w14:paraId="0E694525" w14:textId="77777777" w:rsidR="004B0C57" w:rsidRPr="004C6D20" w:rsidRDefault="004B0C57" w:rsidP="00234C31">
            <w:pPr>
              <w:pStyle w:val="Naslovnavrsticatabele"/>
              <w:jc w:val="center"/>
              <w:rPr>
                <w:sz w:val="26"/>
                <w:szCs w:val="26"/>
              </w:rPr>
            </w:pPr>
            <w:r>
              <w:rPr>
                <w:sz w:val="26"/>
                <w:szCs w:val="26"/>
              </w:rPr>
              <w:t xml:space="preserve">ENOSTAVEN OPIS </w:t>
            </w:r>
            <w:r w:rsidRPr="004C6D20">
              <w:rPr>
                <w:sz w:val="26"/>
                <w:szCs w:val="26"/>
              </w:rPr>
              <w:t xml:space="preserve">DEJAVNOSTI, KI </w:t>
            </w:r>
            <w:r>
              <w:rPr>
                <w:sz w:val="26"/>
                <w:szCs w:val="26"/>
              </w:rPr>
              <w:t>SE IZVAJAJAJO</w:t>
            </w:r>
            <w:r w:rsidRPr="004C6D20">
              <w:rPr>
                <w:sz w:val="26"/>
                <w:szCs w:val="26"/>
              </w:rPr>
              <w:t xml:space="preserve"> V OBRATU</w:t>
            </w:r>
          </w:p>
        </w:tc>
      </w:tr>
    </w:tbl>
    <w:p w14:paraId="2815CDA2" w14:textId="77777777" w:rsidR="004B0C57" w:rsidRPr="004C6D20" w:rsidRDefault="004B0C57" w:rsidP="004B0C57">
      <w:pPr>
        <w:spacing w:before="0" w:after="0" w:line="240" w:lineRule="auto"/>
        <w:rPr>
          <w:rFonts w:cs="Arial"/>
          <w:sz w:val="20"/>
          <w:szCs w:val="20"/>
        </w:rPr>
      </w:pPr>
    </w:p>
    <w:p w14:paraId="5FB088FD" w14:textId="3CFC2BBA" w:rsidR="004B0C57" w:rsidRDefault="004B0C57" w:rsidP="001D0D76">
      <w:pPr>
        <w:spacing w:before="0" w:after="0" w:line="240" w:lineRule="auto"/>
        <w:rPr>
          <w:rFonts w:cs="Arial"/>
        </w:rPr>
      </w:pPr>
      <w:r w:rsidRPr="004C6D20">
        <w:rPr>
          <w:rFonts w:cs="Arial"/>
        </w:rPr>
        <w:t xml:space="preserve">Poglavitna dejavnost </w:t>
      </w:r>
      <w:r w:rsidR="00412B45">
        <w:rPr>
          <w:rFonts w:cs="Arial"/>
        </w:rPr>
        <w:t>enote TE-TOL,</w:t>
      </w:r>
      <w:r w:rsidRPr="004C6D20">
        <w:rPr>
          <w:rFonts w:cs="Arial"/>
        </w:rPr>
        <w:t xml:space="preserve"> na Toplarniški ulici 19</w:t>
      </w:r>
      <w:r w:rsidR="00412B45">
        <w:rPr>
          <w:rFonts w:cs="Arial"/>
        </w:rPr>
        <w:t>,</w:t>
      </w:r>
      <w:r w:rsidRPr="004C6D20">
        <w:rPr>
          <w:rFonts w:cs="Arial"/>
        </w:rPr>
        <w:t xml:space="preserve"> je skladno s SKD klasifikacijo 35.300 Oskrba s paro in vročo vodo. </w:t>
      </w:r>
      <w:r w:rsidR="00412B45">
        <w:rPr>
          <w:rFonts w:cs="Arial"/>
        </w:rPr>
        <w:t>E</w:t>
      </w:r>
      <w:r w:rsidRPr="004C6D20">
        <w:rPr>
          <w:rFonts w:cs="Arial"/>
        </w:rPr>
        <w:t xml:space="preserve">nota TE-TOL proizvaja toploto (vročo vodo in paro) za mesto Ljubljana ter njegovo okolico. Toploto distribuira preko sistema daljinskega ogrevanja, ki poteka na območju Mestne občine Ljubljana. Poleg proizvodnje toplote, družba proizvaja v soproizvodnji tudi elektriko. </w:t>
      </w:r>
    </w:p>
    <w:p w14:paraId="3D317B34" w14:textId="1F03D359" w:rsidR="004B0C57" w:rsidRDefault="004B0C57" w:rsidP="004B0C57">
      <w:pPr>
        <w:spacing w:before="0" w:after="0"/>
        <w:rPr>
          <w:rFonts w:cs="Arial"/>
        </w:rPr>
      </w:pPr>
    </w:p>
    <w:p w14:paraId="70CFAD0F" w14:textId="77777777" w:rsidR="00E66C90" w:rsidRPr="004C6D20" w:rsidRDefault="00E66C90" w:rsidP="004B0C57">
      <w:pPr>
        <w:spacing w:before="0" w:after="0"/>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5A7540EF" w14:textId="77777777" w:rsidTr="00234C31">
        <w:tc>
          <w:tcPr>
            <w:tcW w:w="8897" w:type="dxa"/>
            <w:shd w:val="pct20" w:color="548DD4" w:themeColor="text2" w:themeTint="99" w:fill="auto"/>
          </w:tcPr>
          <w:p w14:paraId="2E505262" w14:textId="77777777" w:rsidR="004B0C57" w:rsidRPr="004C6D20" w:rsidRDefault="004B0C57" w:rsidP="00234C31">
            <w:pPr>
              <w:pStyle w:val="Naslovnavrsticatabele"/>
              <w:jc w:val="center"/>
              <w:rPr>
                <w:sz w:val="26"/>
                <w:szCs w:val="26"/>
              </w:rPr>
            </w:pPr>
            <w:r w:rsidRPr="004C6D20">
              <w:rPr>
                <w:sz w:val="26"/>
                <w:szCs w:val="26"/>
              </w:rPr>
              <w:t>PODATKI O NEVARNIH SNOVEH OBRATA, KI LAHKO POVZROČIJO VEČJO NESREČO, Z NAVEDBO NJIHOVIH POGLAVITNIH NEVARNIH LASTNOSTI</w:t>
            </w:r>
          </w:p>
        </w:tc>
      </w:tr>
    </w:tbl>
    <w:p w14:paraId="5F48E7AA" w14:textId="77777777" w:rsidR="004B0C57" w:rsidRPr="004C6D20" w:rsidRDefault="004B0C57" w:rsidP="004B0C57">
      <w:pPr>
        <w:spacing w:before="0" w:after="0" w:line="240" w:lineRule="auto"/>
        <w:rPr>
          <w:rFonts w:cs="Arial"/>
          <w:sz w:val="20"/>
          <w:szCs w:val="20"/>
        </w:rPr>
      </w:pPr>
    </w:p>
    <w:p w14:paraId="5264A2BA" w14:textId="22D0AEC4" w:rsidR="004B0C57" w:rsidRPr="004C6D20" w:rsidRDefault="004B0C57" w:rsidP="004B0C57">
      <w:pPr>
        <w:spacing w:before="0" w:after="0" w:line="240" w:lineRule="auto"/>
        <w:rPr>
          <w:rFonts w:cs="Arial"/>
        </w:rPr>
      </w:pPr>
      <w:r>
        <w:rPr>
          <w:rFonts w:cs="Arial"/>
        </w:rPr>
        <w:t xml:space="preserve">Gorivi ELKO in D2 sta snovi, ki sta lahko potencialni vir večje nesreče v obratu. </w:t>
      </w:r>
      <w:r w:rsidRPr="004C6D20">
        <w:rPr>
          <w:rFonts w:cs="Arial"/>
        </w:rPr>
        <w:t xml:space="preserve">Na lokaciji se poleg goriv ELKO/D2 nahajajo tudi manjše količine nevarnih snovi, pod pragom, ki jih opredeljuje </w:t>
      </w:r>
      <w:r w:rsidR="00412B45">
        <w:rPr>
          <w:rFonts w:cs="Arial"/>
        </w:rPr>
        <w:t>Uredba</w:t>
      </w:r>
      <w:r w:rsidRPr="00E66C90">
        <w:rPr>
          <w:rFonts w:cs="Arial"/>
        </w:rPr>
        <w:t xml:space="preserve"> (</w:t>
      </w:r>
      <w:r w:rsidR="00412B45">
        <w:rPr>
          <w:rFonts w:cs="Arial"/>
        </w:rPr>
        <w:t xml:space="preserve">Zemeljski plin, </w:t>
      </w:r>
      <w:r w:rsidRPr="00E66C90">
        <w:rPr>
          <w:rFonts w:cs="Arial"/>
        </w:rPr>
        <w:t xml:space="preserve">Acetilen, UNP, Kisik, </w:t>
      </w:r>
      <w:proofErr w:type="spellStart"/>
      <w:r w:rsidRPr="00E66C90">
        <w:rPr>
          <w:rFonts w:cs="Arial"/>
        </w:rPr>
        <w:t>Amoniačna</w:t>
      </w:r>
      <w:proofErr w:type="spellEnd"/>
      <w:r w:rsidRPr="00E66C90">
        <w:rPr>
          <w:rFonts w:cs="Arial"/>
        </w:rPr>
        <w:t xml:space="preserve"> voda, NalcoTM74833, TrasarTMtrac109, Litijev kromat, </w:t>
      </w:r>
      <w:proofErr w:type="spellStart"/>
      <w:r w:rsidRPr="00E66C90">
        <w:rPr>
          <w:rFonts w:cs="Arial"/>
        </w:rPr>
        <w:t>Americol</w:t>
      </w:r>
      <w:proofErr w:type="spellEnd"/>
      <w:r w:rsidRPr="00E66C90">
        <w:rPr>
          <w:rFonts w:cs="Arial"/>
        </w:rPr>
        <w:t xml:space="preserve"> </w:t>
      </w:r>
      <w:proofErr w:type="spellStart"/>
      <w:r w:rsidRPr="00E66C90">
        <w:rPr>
          <w:rFonts w:cs="Arial"/>
        </w:rPr>
        <w:t>antol</w:t>
      </w:r>
      <w:proofErr w:type="spellEnd"/>
      <w:r w:rsidRPr="00E66C90">
        <w:rPr>
          <w:rFonts w:cs="Arial"/>
        </w:rPr>
        <w:t xml:space="preserve"> 24</w:t>
      </w:r>
      <w:r w:rsidRPr="0072495C">
        <w:rPr>
          <w:rFonts w:cs="Arial"/>
        </w:rPr>
        <w:t>).</w:t>
      </w:r>
      <w:r w:rsidRPr="004C6D20">
        <w:rPr>
          <w:rFonts w:cs="Arial"/>
        </w:rPr>
        <w:t xml:space="preserve"> </w:t>
      </w:r>
      <w:r w:rsidR="00412B45">
        <w:rPr>
          <w:rFonts w:cs="Arial"/>
        </w:rPr>
        <w:t xml:space="preserve">Zemeljski plin je v cevovodih in ni skladiščenja, ostale </w:t>
      </w:r>
      <w:r w:rsidRPr="004C6D20">
        <w:rPr>
          <w:rFonts w:cs="Arial"/>
        </w:rPr>
        <w:t>snovi so v zaprtih</w:t>
      </w:r>
      <w:r w:rsidR="00412B45">
        <w:rPr>
          <w:rFonts w:cs="Arial"/>
        </w:rPr>
        <w:t xml:space="preserve"> </w:t>
      </w:r>
      <w:r w:rsidRPr="004C6D20">
        <w:rPr>
          <w:rFonts w:cs="Arial"/>
        </w:rPr>
        <w:t>proizvodnih prostorih obrata</w:t>
      </w:r>
      <w:r>
        <w:rPr>
          <w:rFonts w:cs="Arial"/>
        </w:rPr>
        <w:t xml:space="preserve"> v količinah, ki ne morejo biti vir</w:t>
      </w:r>
      <w:r w:rsidRPr="004C6D20">
        <w:rPr>
          <w:rFonts w:cs="Arial"/>
        </w:rPr>
        <w:t xml:space="preserve"> večje nesreče.</w:t>
      </w:r>
    </w:p>
    <w:p w14:paraId="5FB00CAB" w14:textId="77777777" w:rsidR="004B0C57" w:rsidRPr="004C6D20" w:rsidRDefault="004B0C57" w:rsidP="004B0C57">
      <w:pPr>
        <w:spacing w:before="0" w:after="0" w:line="240" w:lineRule="auto"/>
        <w:rPr>
          <w:rFonts w:cs="Arial"/>
        </w:rPr>
      </w:pPr>
    </w:p>
    <w:p w14:paraId="7FE2DE80" w14:textId="77777777" w:rsidR="004B0C57" w:rsidRPr="004C6D20" w:rsidRDefault="004B0C57" w:rsidP="004B0C57">
      <w:pPr>
        <w:spacing w:before="0" w:after="0" w:line="240" w:lineRule="auto"/>
        <w:rPr>
          <w:rFonts w:cs="Arial"/>
        </w:rPr>
      </w:pPr>
      <w:r w:rsidRPr="004C6D20">
        <w:rPr>
          <w:rFonts w:cs="Arial"/>
        </w:rPr>
        <w:t>V nadaljevanju je podana tabela s podatki o maksimalnih količinah nevarnih snovi</w:t>
      </w:r>
      <w:r>
        <w:rPr>
          <w:rFonts w:cs="Arial"/>
        </w:rPr>
        <w:t>, njihovih nevarnih lastnostih</w:t>
      </w:r>
      <w:r w:rsidRPr="004C6D20">
        <w:rPr>
          <w:rFonts w:cs="Arial"/>
        </w:rPr>
        <w:t xml:space="preserve"> ter načinu njihovega skladiščenja: </w:t>
      </w:r>
    </w:p>
    <w:p w14:paraId="3D7EC14C" w14:textId="5DC9083C" w:rsidR="004B0C57" w:rsidRDefault="004B0C57" w:rsidP="004B0C57">
      <w:pPr>
        <w:spacing w:before="0" w:after="0" w:line="240" w:lineRule="auto"/>
        <w:rPr>
          <w:rFonts w:cs="Arial"/>
        </w:rPr>
      </w:pPr>
    </w:p>
    <w:p w14:paraId="0D2115D3" w14:textId="77777777" w:rsidR="00DC7850" w:rsidRPr="004C6D20" w:rsidRDefault="00DC7850" w:rsidP="004B0C57">
      <w:pPr>
        <w:spacing w:before="0" w:after="0" w:line="240" w:lineRule="auto"/>
        <w:rPr>
          <w:rFonts w:cs="Arial"/>
        </w:rPr>
      </w:pPr>
    </w:p>
    <w:tbl>
      <w:tblPr>
        <w:tblStyle w:val="Svetlamreapoudarek1"/>
        <w:tblW w:w="5000" w:type="pct"/>
        <w:tblLook w:val="04A0" w:firstRow="1" w:lastRow="0" w:firstColumn="1" w:lastColumn="0" w:noHBand="0" w:noVBand="1"/>
      </w:tblPr>
      <w:tblGrid>
        <w:gridCol w:w="1736"/>
        <w:gridCol w:w="5626"/>
        <w:gridCol w:w="1406"/>
      </w:tblGrid>
      <w:tr w:rsidR="004B0C57" w:rsidRPr="004C6D20" w14:paraId="76DD5EE0" w14:textId="77777777" w:rsidTr="00574F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pct"/>
            <w:hideMark/>
          </w:tcPr>
          <w:p w14:paraId="42CA508F" w14:textId="77777777" w:rsidR="004B0C57" w:rsidRPr="004C6D20" w:rsidRDefault="004B0C57" w:rsidP="00234C31">
            <w:pPr>
              <w:spacing w:after="0" w:line="240" w:lineRule="auto"/>
              <w:rPr>
                <w:rFonts w:cs="Arial"/>
                <w:sz w:val="20"/>
                <w:szCs w:val="20"/>
              </w:rPr>
            </w:pPr>
            <w:r w:rsidRPr="004C6D20">
              <w:rPr>
                <w:rFonts w:cs="Arial"/>
                <w:sz w:val="20"/>
                <w:szCs w:val="20"/>
              </w:rPr>
              <w:t>Snov</w:t>
            </w:r>
          </w:p>
        </w:tc>
        <w:tc>
          <w:tcPr>
            <w:tcW w:w="3208" w:type="pct"/>
          </w:tcPr>
          <w:p w14:paraId="66815085" w14:textId="77777777" w:rsidR="004B0C57" w:rsidRPr="004C6D20" w:rsidRDefault="004B0C57" w:rsidP="00234C3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4C6D20">
              <w:rPr>
                <w:rFonts w:cs="Arial"/>
                <w:sz w:val="20"/>
                <w:szCs w:val="20"/>
              </w:rPr>
              <w:t>Nevarne lastnosti</w:t>
            </w:r>
            <w:r w:rsidRPr="00202713">
              <w:rPr>
                <w:rFonts w:cs="Arial"/>
                <w:sz w:val="20"/>
                <w:szCs w:val="20"/>
                <w:vertAlign w:val="superscript"/>
              </w:rPr>
              <w:t>3</w:t>
            </w:r>
          </w:p>
        </w:tc>
        <w:tc>
          <w:tcPr>
            <w:tcW w:w="802" w:type="pct"/>
            <w:hideMark/>
          </w:tcPr>
          <w:p w14:paraId="09FADE9A" w14:textId="77777777" w:rsidR="004B0C57" w:rsidRPr="004C6D20" w:rsidRDefault="004B0C57" w:rsidP="00234C3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4C6D20">
              <w:rPr>
                <w:rFonts w:cs="Arial"/>
                <w:sz w:val="20"/>
                <w:szCs w:val="20"/>
              </w:rPr>
              <w:t>Količina</w:t>
            </w:r>
          </w:p>
          <w:p w14:paraId="783A7D14" w14:textId="77777777" w:rsidR="004B0C57" w:rsidRPr="004C6D20" w:rsidRDefault="004B0C57" w:rsidP="00234C3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4C6D20">
              <w:rPr>
                <w:rFonts w:cs="Arial"/>
                <w:sz w:val="20"/>
                <w:szCs w:val="20"/>
              </w:rPr>
              <w:t>(t)</w:t>
            </w:r>
          </w:p>
        </w:tc>
      </w:tr>
      <w:tr w:rsidR="004B0C57" w:rsidRPr="004C6D20" w14:paraId="156AD192" w14:textId="77777777" w:rsidTr="00234C3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 w:type="pct"/>
            <w:hideMark/>
          </w:tcPr>
          <w:p w14:paraId="258DA5E5" w14:textId="77777777" w:rsidR="004B0C57" w:rsidRPr="004C6D20" w:rsidRDefault="004B0C57" w:rsidP="00234C31">
            <w:pPr>
              <w:spacing w:after="0" w:line="240" w:lineRule="auto"/>
              <w:rPr>
                <w:rFonts w:cs="Arial"/>
                <w:sz w:val="20"/>
                <w:szCs w:val="20"/>
              </w:rPr>
            </w:pPr>
            <w:r w:rsidRPr="004C6D20">
              <w:rPr>
                <w:rFonts w:cs="Arial"/>
                <w:sz w:val="20"/>
                <w:szCs w:val="20"/>
              </w:rPr>
              <w:t>ELKO</w:t>
            </w:r>
            <w:r w:rsidRPr="004C6D20">
              <w:rPr>
                <w:rFonts w:cs="Arial"/>
                <w:sz w:val="20"/>
                <w:szCs w:val="20"/>
                <w:vertAlign w:val="superscript"/>
              </w:rPr>
              <w:t>1</w:t>
            </w:r>
            <w:r>
              <w:rPr>
                <w:rFonts w:cs="Arial"/>
                <w:sz w:val="20"/>
                <w:szCs w:val="20"/>
                <w:vertAlign w:val="superscript"/>
              </w:rPr>
              <w:t>,</w:t>
            </w:r>
          </w:p>
        </w:tc>
        <w:tc>
          <w:tcPr>
            <w:tcW w:w="3208" w:type="pct"/>
          </w:tcPr>
          <w:p w14:paraId="46221909"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H226</w:t>
            </w:r>
            <w:r w:rsidRPr="004C6D20">
              <w:rPr>
                <w:rFonts w:cs="Arial"/>
                <w:sz w:val="20"/>
                <w:szCs w:val="20"/>
              </w:rPr>
              <w:tab/>
              <w:t>Zelo lahko vnetljiva tekočina in hlapi</w:t>
            </w:r>
          </w:p>
          <w:p w14:paraId="252735C1"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H304</w:t>
            </w:r>
            <w:r w:rsidRPr="004C6D20">
              <w:rPr>
                <w:rFonts w:cs="Arial"/>
                <w:sz w:val="20"/>
                <w:szCs w:val="20"/>
              </w:rPr>
              <w:tab/>
              <w:t>Pri zaužitju in vstopu v dihalne poti je lahko smrtno</w:t>
            </w:r>
          </w:p>
          <w:p w14:paraId="6C45EB87"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H315</w:t>
            </w:r>
            <w:r w:rsidRPr="004C6D20">
              <w:rPr>
                <w:rFonts w:cs="Arial"/>
                <w:sz w:val="20"/>
                <w:szCs w:val="20"/>
              </w:rPr>
              <w:tab/>
              <w:t>Povzroča draženje kože</w:t>
            </w:r>
          </w:p>
          <w:p w14:paraId="51697FA5"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lastRenderedPageBreak/>
              <w:t>H332</w:t>
            </w:r>
            <w:r w:rsidRPr="004C6D20">
              <w:rPr>
                <w:rFonts w:cs="Arial"/>
                <w:sz w:val="20"/>
                <w:szCs w:val="20"/>
              </w:rPr>
              <w:tab/>
              <w:t>Zdravju škodljivo pri vdihavanju</w:t>
            </w:r>
          </w:p>
          <w:p w14:paraId="5752C278"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H351</w:t>
            </w:r>
            <w:r w:rsidRPr="004C6D20">
              <w:rPr>
                <w:rFonts w:cs="Arial"/>
                <w:sz w:val="20"/>
                <w:szCs w:val="20"/>
              </w:rPr>
              <w:tab/>
              <w:t xml:space="preserve">Sum povzročitve raka </w:t>
            </w:r>
            <w:r w:rsidRPr="004C6D20">
              <w:rPr>
                <w:rFonts w:cs="Arial"/>
                <w:i/>
                <w:iCs/>
                <w:sz w:val="20"/>
                <w:szCs w:val="20"/>
              </w:rPr>
              <w:t xml:space="preserve"> </w:t>
            </w:r>
          </w:p>
          <w:p w14:paraId="1CFB5428" w14:textId="126A1306" w:rsidR="004B0C57" w:rsidRPr="004C6D20" w:rsidRDefault="00D4440E"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H373</w:t>
            </w:r>
            <w:r>
              <w:rPr>
                <w:rFonts w:cs="Arial"/>
                <w:sz w:val="20"/>
                <w:szCs w:val="20"/>
              </w:rPr>
              <w:tab/>
              <w:t xml:space="preserve">Lahko </w:t>
            </w:r>
            <w:r w:rsidR="004B0C57" w:rsidRPr="004C6D20">
              <w:rPr>
                <w:rFonts w:cs="Arial"/>
                <w:sz w:val="20"/>
                <w:szCs w:val="20"/>
              </w:rPr>
              <w:t xml:space="preserve">škoduje organom pri dolgotrajni ali ponavljajoči se izpostavljenosti </w:t>
            </w:r>
            <w:r w:rsidR="004B0C57" w:rsidRPr="004C6D20">
              <w:rPr>
                <w:rFonts w:cs="Arial"/>
                <w:i/>
                <w:iCs/>
                <w:sz w:val="20"/>
                <w:szCs w:val="20"/>
              </w:rPr>
              <w:t>noben drug način izpostavljenosti ne povzroča takšne nevarnosti</w:t>
            </w:r>
          </w:p>
          <w:p w14:paraId="70D83ED9" w14:textId="77777777" w:rsidR="004B0C57" w:rsidRPr="004C6D20" w:rsidRDefault="004B0C57" w:rsidP="00234C31">
            <w:pPr>
              <w:ind w:left="805" w:hanging="805"/>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H411</w:t>
            </w:r>
            <w:r w:rsidRPr="004C6D20">
              <w:rPr>
                <w:rFonts w:cs="Arial"/>
                <w:sz w:val="20"/>
                <w:szCs w:val="20"/>
              </w:rPr>
              <w:tab/>
              <w:t>Strupeno za vodne organizme, z dolgotrajnimi učinki</w:t>
            </w:r>
          </w:p>
        </w:tc>
        <w:tc>
          <w:tcPr>
            <w:tcW w:w="802" w:type="pct"/>
            <w:hideMark/>
          </w:tcPr>
          <w:p w14:paraId="32EFED24" w14:textId="77777777" w:rsidR="004B0C57" w:rsidRPr="004C6D20" w:rsidRDefault="004B0C57" w:rsidP="00234C31">
            <w:pPr>
              <w:spacing w:before="48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14:paraId="39693D8B" w14:textId="1B2D0B0C" w:rsidR="004B0C57" w:rsidRPr="004C6D20" w:rsidRDefault="004B0C57" w:rsidP="00234C31">
            <w:pPr>
              <w:spacing w:before="480"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4C6D20">
              <w:rPr>
                <w:rFonts w:cs="Arial"/>
                <w:sz w:val="20"/>
                <w:szCs w:val="20"/>
              </w:rPr>
              <w:t>2.</w:t>
            </w:r>
            <w:r w:rsidR="00871A15">
              <w:rPr>
                <w:rFonts w:cs="Arial"/>
                <w:sz w:val="20"/>
                <w:szCs w:val="20"/>
              </w:rPr>
              <w:t>458</w:t>
            </w:r>
          </w:p>
        </w:tc>
      </w:tr>
      <w:tr w:rsidR="004B0C57" w:rsidRPr="004C6D20" w14:paraId="08C3C37A" w14:textId="77777777" w:rsidTr="00234C31">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90" w:type="pct"/>
            <w:hideMark/>
          </w:tcPr>
          <w:p w14:paraId="3DF679DF" w14:textId="77777777" w:rsidR="004B0C57" w:rsidRPr="004C6D20" w:rsidRDefault="004B0C57" w:rsidP="00234C31">
            <w:pPr>
              <w:spacing w:after="0" w:line="240" w:lineRule="auto"/>
              <w:rPr>
                <w:rFonts w:cs="Arial"/>
                <w:sz w:val="20"/>
                <w:szCs w:val="20"/>
              </w:rPr>
            </w:pPr>
            <w:r w:rsidRPr="004C6D20">
              <w:rPr>
                <w:rFonts w:cs="Arial"/>
                <w:sz w:val="20"/>
                <w:szCs w:val="20"/>
              </w:rPr>
              <w:t>Diesel</w:t>
            </w:r>
            <w:r w:rsidRPr="004C6D20">
              <w:rPr>
                <w:rFonts w:cs="Arial"/>
                <w:sz w:val="20"/>
                <w:szCs w:val="20"/>
                <w:vertAlign w:val="superscript"/>
              </w:rPr>
              <w:t>2</w:t>
            </w:r>
          </w:p>
        </w:tc>
        <w:tc>
          <w:tcPr>
            <w:tcW w:w="3208" w:type="pct"/>
          </w:tcPr>
          <w:p w14:paraId="33AE43D1"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H226</w:t>
            </w:r>
            <w:r w:rsidRPr="004C6D20">
              <w:rPr>
                <w:rFonts w:cs="Arial"/>
                <w:sz w:val="20"/>
                <w:szCs w:val="20"/>
              </w:rPr>
              <w:tab/>
              <w:t>Zelo lahko vnetljiva tekočina in hlapi</w:t>
            </w:r>
          </w:p>
          <w:p w14:paraId="3F6C80AB"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H304</w:t>
            </w:r>
            <w:r w:rsidRPr="004C6D20">
              <w:rPr>
                <w:rFonts w:cs="Arial"/>
                <w:sz w:val="20"/>
                <w:szCs w:val="20"/>
              </w:rPr>
              <w:tab/>
              <w:t>Pri zaužitju in vstopu v dihalne poti je lahko smrtno</w:t>
            </w:r>
          </w:p>
          <w:p w14:paraId="4090EE7F"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H315</w:t>
            </w:r>
            <w:r w:rsidRPr="004C6D20">
              <w:rPr>
                <w:rFonts w:cs="Arial"/>
                <w:sz w:val="20"/>
                <w:szCs w:val="20"/>
              </w:rPr>
              <w:tab/>
              <w:t>Povzroča draženje kože</w:t>
            </w:r>
          </w:p>
          <w:p w14:paraId="131A57D4"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H332</w:t>
            </w:r>
            <w:r w:rsidRPr="004C6D20">
              <w:rPr>
                <w:rFonts w:cs="Arial"/>
                <w:sz w:val="20"/>
                <w:szCs w:val="20"/>
              </w:rPr>
              <w:tab/>
              <w:t>Zdravju škodljivo pri vdihavanju</w:t>
            </w:r>
          </w:p>
          <w:p w14:paraId="74A823BF"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H351</w:t>
            </w:r>
            <w:r w:rsidRPr="004C6D20">
              <w:rPr>
                <w:rFonts w:cs="Arial"/>
                <w:sz w:val="20"/>
                <w:szCs w:val="20"/>
              </w:rPr>
              <w:tab/>
              <w:t xml:space="preserve">Sum povzročitve raka </w:t>
            </w:r>
            <w:r w:rsidRPr="004C6D20">
              <w:rPr>
                <w:rFonts w:cs="Arial"/>
                <w:i/>
                <w:iCs/>
                <w:sz w:val="20"/>
                <w:szCs w:val="20"/>
              </w:rPr>
              <w:t xml:space="preserve"> </w:t>
            </w:r>
          </w:p>
          <w:p w14:paraId="71705E61"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H373</w:t>
            </w:r>
            <w:r w:rsidRPr="004C6D20">
              <w:rPr>
                <w:rFonts w:cs="Arial"/>
                <w:sz w:val="20"/>
                <w:szCs w:val="20"/>
              </w:rPr>
              <w:tab/>
              <w:t xml:space="preserve">Lahko škoduje organom pri dolgotrajni ali ponavljajoči se izpostavljenosti </w:t>
            </w:r>
            <w:r w:rsidRPr="004C6D20">
              <w:rPr>
                <w:rFonts w:cs="Arial"/>
                <w:i/>
                <w:iCs/>
                <w:sz w:val="20"/>
                <w:szCs w:val="20"/>
              </w:rPr>
              <w:t>noben drug način izpostavljenosti ne povzroča takšne nevarnosti</w:t>
            </w:r>
          </w:p>
          <w:p w14:paraId="7EE1A326" w14:textId="77777777" w:rsidR="004B0C57" w:rsidRPr="004C6D20" w:rsidRDefault="004B0C57" w:rsidP="00234C31">
            <w:pPr>
              <w:ind w:left="805" w:hanging="805"/>
              <w:cnfStyle w:val="000000010000" w:firstRow="0" w:lastRow="0" w:firstColumn="0" w:lastColumn="0" w:oddVBand="0" w:evenVBand="0" w:oddHBand="0" w:evenHBand="1" w:firstRowFirstColumn="0" w:firstRowLastColumn="0" w:lastRowFirstColumn="0" w:lastRowLastColumn="0"/>
              <w:rPr>
                <w:rFonts w:cs="Arial"/>
                <w:sz w:val="20"/>
                <w:szCs w:val="20"/>
              </w:rPr>
            </w:pPr>
            <w:r w:rsidRPr="004C6D20">
              <w:rPr>
                <w:rFonts w:cs="Arial"/>
                <w:sz w:val="20"/>
                <w:szCs w:val="20"/>
              </w:rPr>
              <w:t>H411</w:t>
            </w:r>
            <w:r w:rsidRPr="004C6D20">
              <w:rPr>
                <w:rFonts w:cs="Arial"/>
                <w:sz w:val="20"/>
                <w:szCs w:val="20"/>
              </w:rPr>
              <w:tab/>
              <w:t>Strupeno za vodne organizme, z dolgotrajnimi učinki</w:t>
            </w:r>
          </w:p>
        </w:tc>
        <w:tc>
          <w:tcPr>
            <w:tcW w:w="802" w:type="pct"/>
            <w:shd w:val="clear" w:color="auto" w:fill="D3DFEE" w:themeFill="accent1" w:themeFillTint="3F"/>
            <w:hideMark/>
          </w:tcPr>
          <w:p w14:paraId="313CE902" w14:textId="77777777" w:rsidR="004B0C57" w:rsidRPr="004C6D20" w:rsidRDefault="004B0C57" w:rsidP="00234C31">
            <w:pPr>
              <w:spacing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13</w:t>
            </w:r>
          </w:p>
        </w:tc>
      </w:tr>
    </w:tbl>
    <w:p w14:paraId="592ED950" w14:textId="77777777" w:rsidR="004B0C57" w:rsidRPr="004C6D20" w:rsidRDefault="004B0C57" w:rsidP="004B0C57">
      <w:pPr>
        <w:spacing w:before="0" w:after="0" w:line="240" w:lineRule="auto"/>
        <w:rPr>
          <w:rFonts w:cs="Arial"/>
          <w:bCs/>
          <w:sz w:val="18"/>
          <w:szCs w:val="18"/>
        </w:rPr>
      </w:pPr>
    </w:p>
    <w:p w14:paraId="7553C287" w14:textId="77777777" w:rsidR="004B0C57" w:rsidRDefault="004B0C57" w:rsidP="004B0C57">
      <w:pPr>
        <w:rPr>
          <w:rFonts w:cs="Arial"/>
          <w:bCs/>
          <w:sz w:val="18"/>
          <w:szCs w:val="18"/>
        </w:rPr>
      </w:pPr>
      <w:r w:rsidRPr="004C6D20">
        <w:rPr>
          <w:rFonts w:cs="Arial"/>
          <w:bCs/>
          <w:sz w:val="18"/>
          <w:szCs w:val="18"/>
        </w:rPr>
        <w:t>1, 2…ELKO/D2 sta destilacijski frakciji nafte (ELKO je pri sobni temperaturi rdečkaste barve, D2 pa rumene barve). ELKO</w:t>
      </w:r>
      <w:r>
        <w:rPr>
          <w:rFonts w:cs="Arial"/>
          <w:bCs/>
          <w:sz w:val="18"/>
          <w:szCs w:val="18"/>
        </w:rPr>
        <w:t xml:space="preserve">, ki se v obratu uporablja </w:t>
      </w:r>
      <w:r w:rsidRPr="004C6D20">
        <w:rPr>
          <w:rFonts w:cs="Arial"/>
          <w:bCs/>
          <w:sz w:val="18"/>
          <w:szCs w:val="18"/>
        </w:rPr>
        <w:t xml:space="preserve">za zagone </w:t>
      </w:r>
      <w:r>
        <w:rPr>
          <w:rFonts w:cs="Arial"/>
          <w:bCs/>
          <w:sz w:val="18"/>
          <w:szCs w:val="18"/>
        </w:rPr>
        <w:t xml:space="preserve">premogovnih </w:t>
      </w:r>
      <w:r w:rsidRPr="004C6D20">
        <w:rPr>
          <w:rFonts w:cs="Arial"/>
          <w:bCs/>
          <w:sz w:val="18"/>
          <w:szCs w:val="18"/>
        </w:rPr>
        <w:t>kotlov v glavnem pogonskem objektu</w:t>
      </w:r>
      <w:r>
        <w:rPr>
          <w:rFonts w:cs="Arial"/>
          <w:bCs/>
          <w:sz w:val="18"/>
          <w:szCs w:val="18"/>
        </w:rPr>
        <w:t xml:space="preserve"> (GPO)</w:t>
      </w:r>
      <w:r w:rsidRPr="004C6D20">
        <w:rPr>
          <w:rFonts w:cs="Arial"/>
          <w:bCs/>
          <w:sz w:val="18"/>
          <w:szCs w:val="18"/>
        </w:rPr>
        <w:t xml:space="preserve"> in kot rezervno gorivo za PPE-TOL in kotle v nizkotlačni kotlovnici</w:t>
      </w:r>
      <w:r>
        <w:rPr>
          <w:rFonts w:cs="Arial"/>
          <w:bCs/>
          <w:sz w:val="18"/>
          <w:szCs w:val="18"/>
        </w:rPr>
        <w:t xml:space="preserve"> (VK),</w:t>
      </w:r>
      <w:r w:rsidRPr="004C6D20">
        <w:rPr>
          <w:rFonts w:cs="Arial"/>
          <w:bCs/>
          <w:sz w:val="18"/>
          <w:szCs w:val="18"/>
        </w:rPr>
        <w:t xml:space="preserve"> se skladišči v dveh nadzemnih rezervoarjih vsak volumna 1.500 m</w:t>
      </w:r>
      <w:r w:rsidRPr="004C6D20">
        <w:rPr>
          <w:rFonts w:cs="Arial"/>
          <w:bCs/>
          <w:sz w:val="18"/>
          <w:szCs w:val="18"/>
          <w:vertAlign w:val="superscript"/>
        </w:rPr>
        <w:t>3</w:t>
      </w:r>
      <w:r w:rsidRPr="004C6D20">
        <w:rPr>
          <w:rFonts w:cs="Arial"/>
          <w:bCs/>
          <w:sz w:val="18"/>
          <w:szCs w:val="18"/>
        </w:rPr>
        <w:t xml:space="preserve"> in treh podzemnih rezervoarjih, en rezervoar je volumna 50 m</w:t>
      </w:r>
      <w:r w:rsidRPr="004C6D20">
        <w:rPr>
          <w:rFonts w:cs="Arial"/>
          <w:bCs/>
          <w:sz w:val="18"/>
          <w:szCs w:val="18"/>
          <w:vertAlign w:val="superscript"/>
        </w:rPr>
        <w:t>3</w:t>
      </w:r>
      <w:r w:rsidRPr="004C6D20">
        <w:rPr>
          <w:rFonts w:cs="Arial"/>
          <w:bCs/>
          <w:sz w:val="18"/>
          <w:szCs w:val="18"/>
        </w:rPr>
        <w:t>, dva pa vsak po 30 m</w:t>
      </w:r>
      <w:r w:rsidRPr="004C6D20">
        <w:rPr>
          <w:rFonts w:cs="Arial"/>
          <w:bCs/>
          <w:sz w:val="18"/>
          <w:szCs w:val="18"/>
          <w:vertAlign w:val="superscript"/>
        </w:rPr>
        <w:t>3</w:t>
      </w:r>
      <w:r w:rsidRPr="004C6D20">
        <w:rPr>
          <w:rFonts w:cs="Arial"/>
          <w:bCs/>
          <w:sz w:val="18"/>
          <w:szCs w:val="18"/>
        </w:rPr>
        <w:t xml:space="preserve">. </w:t>
      </w:r>
      <w:r>
        <w:rPr>
          <w:rFonts w:cs="Arial"/>
          <w:bCs/>
          <w:sz w:val="18"/>
          <w:szCs w:val="18"/>
        </w:rPr>
        <w:t xml:space="preserve">V vseh štirih rezervoarjih je možno skladiščiti tudi D2. </w:t>
      </w:r>
      <w:r w:rsidRPr="004C6D20">
        <w:rPr>
          <w:rFonts w:cs="Arial"/>
          <w:bCs/>
          <w:sz w:val="18"/>
          <w:szCs w:val="18"/>
        </w:rPr>
        <w:t>Na lokaciji je še 10 m</w:t>
      </w:r>
      <w:r w:rsidRPr="004C6D20">
        <w:rPr>
          <w:rFonts w:cs="Arial"/>
          <w:bCs/>
          <w:sz w:val="18"/>
          <w:szCs w:val="18"/>
          <w:vertAlign w:val="superscript"/>
        </w:rPr>
        <w:t>3</w:t>
      </w:r>
      <w:r w:rsidRPr="004C6D20">
        <w:rPr>
          <w:rFonts w:cs="Arial"/>
          <w:bCs/>
          <w:sz w:val="18"/>
          <w:szCs w:val="18"/>
        </w:rPr>
        <w:t xml:space="preserve"> rezervoar v katerem se skladišči gorivo </w:t>
      </w:r>
      <w:r>
        <w:rPr>
          <w:rFonts w:cs="Arial"/>
          <w:bCs/>
          <w:sz w:val="18"/>
          <w:szCs w:val="18"/>
        </w:rPr>
        <w:t xml:space="preserve">D2 namenjeno </w:t>
      </w:r>
      <w:r w:rsidRPr="004C6D20">
        <w:rPr>
          <w:rFonts w:cs="Arial"/>
          <w:bCs/>
          <w:sz w:val="18"/>
          <w:szCs w:val="18"/>
        </w:rPr>
        <w:t xml:space="preserve">za pogon </w:t>
      </w:r>
      <w:r>
        <w:rPr>
          <w:rFonts w:cs="Arial"/>
          <w:bCs/>
          <w:sz w:val="18"/>
          <w:szCs w:val="18"/>
        </w:rPr>
        <w:t xml:space="preserve">delovnih strojev znotraj obrata. S predmetnega rezervoarja D2 se polni tudi rezervoar </w:t>
      </w:r>
      <w:proofErr w:type="spellStart"/>
      <w:r>
        <w:rPr>
          <w:rFonts w:cs="Arial"/>
          <w:bCs/>
          <w:sz w:val="18"/>
          <w:szCs w:val="18"/>
        </w:rPr>
        <w:t>diesel</w:t>
      </w:r>
      <w:proofErr w:type="spellEnd"/>
      <w:r>
        <w:rPr>
          <w:rFonts w:cs="Arial"/>
          <w:bCs/>
          <w:sz w:val="18"/>
          <w:szCs w:val="18"/>
        </w:rPr>
        <w:t xml:space="preserve"> agregata v stavbi GPO (rezervoar </w:t>
      </w:r>
      <w:proofErr w:type="spellStart"/>
      <w:r>
        <w:rPr>
          <w:rFonts w:cs="Arial"/>
          <w:bCs/>
          <w:sz w:val="18"/>
          <w:szCs w:val="18"/>
        </w:rPr>
        <w:t>diesel</w:t>
      </w:r>
      <w:proofErr w:type="spellEnd"/>
      <w:r>
        <w:rPr>
          <w:rFonts w:cs="Arial"/>
          <w:bCs/>
          <w:sz w:val="18"/>
          <w:szCs w:val="18"/>
        </w:rPr>
        <w:t xml:space="preserve"> agregata je volumna 100l)</w:t>
      </w:r>
      <w:r w:rsidRPr="004C6D20">
        <w:rPr>
          <w:rFonts w:cs="Arial"/>
          <w:bCs/>
          <w:sz w:val="18"/>
          <w:szCs w:val="18"/>
        </w:rPr>
        <w:t xml:space="preserve">.. </w:t>
      </w:r>
      <w:r>
        <w:rPr>
          <w:rFonts w:cs="Arial"/>
          <w:bCs/>
          <w:sz w:val="18"/>
          <w:szCs w:val="18"/>
        </w:rPr>
        <w:t xml:space="preserve">D2 se skladišči še v dveh rezervoarjih </w:t>
      </w:r>
      <w:proofErr w:type="spellStart"/>
      <w:r>
        <w:rPr>
          <w:rFonts w:cs="Arial"/>
          <w:bCs/>
          <w:sz w:val="18"/>
          <w:szCs w:val="18"/>
        </w:rPr>
        <w:t>diesel</w:t>
      </w:r>
      <w:proofErr w:type="spellEnd"/>
      <w:r>
        <w:rPr>
          <w:rFonts w:cs="Arial"/>
          <w:bCs/>
          <w:sz w:val="18"/>
          <w:szCs w:val="18"/>
        </w:rPr>
        <w:t xml:space="preserve"> agregatov naprave PPE-TOL, vsak volumna 2,5 m</w:t>
      </w:r>
      <w:r w:rsidRPr="00202713">
        <w:rPr>
          <w:rFonts w:cs="Arial"/>
          <w:bCs/>
          <w:sz w:val="18"/>
          <w:szCs w:val="18"/>
          <w:vertAlign w:val="superscript"/>
        </w:rPr>
        <w:t>3</w:t>
      </w:r>
      <w:r>
        <w:rPr>
          <w:rFonts w:cs="Arial"/>
          <w:bCs/>
          <w:sz w:val="18"/>
          <w:szCs w:val="18"/>
        </w:rPr>
        <w:t>.</w:t>
      </w:r>
    </w:p>
    <w:p w14:paraId="295AA789" w14:textId="77777777" w:rsidR="004B0C57" w:rsidRDefault="004B0C57" w:rsidP="004B0C57">
      <w:pPr>
        <w:rPr>
          <w:rFonts w:cs="Arial"/>
          <w:bCs/>
          <w:sz w:val="18"/>
          <w:szCs w:val="18"/>
        </w:rPr>
      </w:pPr>
      <w:r>
        <w:rPr>
          <w:rFonts w:cs="Arial"/>
          <w:bCs/>
          <w:sz w:val="18"/>
          <w:szCs w:val="18"/>
        </w:rPr>
        <w:t>3 … Nevarne lastnosti so lastnosti, ki jih imata ELKO in D2 v tekoči, izvorni obliki. V primeru, da bi prišlo do požara, gorenja ELKO/D2, nevarnostne lastnosti ELKO/D2 niso več enake lastnostim podanim v tabeli.</w:t>
      </w:r>
    </w:p>
    <w:p w14:paraId="15D9FB3A" w14:textId="6805D7EE" w:rsidR="004B0C57" w:rsidRDefault="004B0C57" w:rsidP="004B0C57">
      <w:pPr>
        <w:rPr>
          <w:rFonts w:cs="Arial"/>
          <w:bCs/>
          <w:sz w:val="18"/>
          <w:szCs w:val="18"/>
        </w:rPr>
      </w:pPr>
    </w:p>
    <w:p w14:paraId="4339AC1D" w14:textId="77777777" w:rsidR="0072495C" w:rsidRDefault="0072495C" w:rsidP="004B0C57">
      <w:pPr>
        <w:rPr>
          <w:rFonts w:cs="Arial"/>
          <w:bCs/>
          <w:sz w:val="18"/>
          <w:szCs w:val="18"/>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1A7D0C" w:rsidRPr="004C6D20" w14:paraId="7695325F" w14:textId="77777777" w:rsidTr="00234C31">
        <w:tc>
          <w:tcPr>
            <w:tcW w:w="8897" w:type="dxa"/>
            <w:shd w:val="pct20" w:color="548DD4" w:themeColor="text2" w:themeTint="99" w:fill="auto"/>
          </w:tcPr>
          <w:p w14:paraId="7E4D4D23" w14:textId="77777777" w:rsidR="001A7D0C" w:rsidRPr="004C6D20" w:rsidRDefault="001A7D0C" w:rsidP="00234C31">
            <w:pPr>
              <w:pStyle w:val="Naslovnavrsticatabele"/>
              <w:jc w:val="center"/>
              <w:rPr>
                <w:sz w:val="26"/>
                <w:szCs w:val="26"/>
              </w:rPr>
            </w:pPr>
            <w:r>
              <w:rPr>
                <w:sz w:val="26"/>
                <w:szCs w:val="26"/>
              </w:rPr>
              <w:t>VIRI POTENCIALNIH VEČJIH NESREČ V OBRATU IN</w:t>
            </w:r>
            <w:r w:rsidRPr="004C6D20">
              <w:rPr>
                <w:sz w:val="26"/>
                <w:szCs w:val="26"/>
              </w:rPr>
              <w:t xml:space="preserve"> MOŽN</w:t>
            </w:r>
            <w:r>
              <w:rPr>
                <w:sz w:val="26"/>
                <w:szCs w:val="26"/>
              </w:rPr>
              <w:t>I</w:t>
            </w:r>
            <w:r w:rsidRPr="004C6D20">
              <w:rPr>
                <w:sz w:val="26"/>
                <w:szCs w:val="26"/>
              </w:rPr>
              <w:t xml:space="preserve"> UČINK</w:t>
            </w:r>
            <w:r>
              <w:rPr>
                <w:sz w:val="26"/>
                <w:szCs w:val="26"/>
              </w:rPr>
              <w:t>I</w:t>
            </w:r>
            <w:r w:rsidRPr="004C6D20">
              <w:rPr>
                <w:sz w:val="26"/>
                <w:szCs w:val="26"/>
              </w:rPr>
              <w:t xml:space="preserve"> TEH NESREČ NA LJUDI IN OKOLJE</w:t>
            </w:r>
          </w:p>
        </w:tc>
      </w:tr>
    </w:tbl>
    <w:p w14:paraId="54BA4DB0" w14:textId="77777777" w:rsidR="001A7D0C" w:rsidRPr="004C6D20" w:rsidRDefault="001A7D0C" w:rsidP="001A7D0C">
      <w:pPr>
        <w:spacing w:before="0" w:after="0" w:line="240" w:lineRule="auto"/>
        <w:rPr>
          <w:rFonts w:cs="Arial"/>
          <w:sz w:val="20"/>
          <w:szCs w:val="20"/>
        </w:rPr>
      </w:pPr>
    </w:p>
    <w:p w14:paraId="0A43376D" w14:textId="77777777" w:rsidR="001A7D0C" w:rsidRPr="004C6D20" w:rsidRDefault="001A7D0C" w:rsidP="001A7D0C">
      <w:pPr>
        <w:pStyle w:val="Golobesedilo"/>
        <w:rPr>
          <w:rFonts w:ascii="Arial" w:hAnsi="Arial" w:cs="Arial"/>
          <w:bCs/>
          <w:sz w:val="22"/>
          <w:szCs w:val="22"/>
        </w:rPr>
      </w:pPr>
    </w:p>
    <w:p w14:paraId="4FB205F2" w14:textId="20B4745E" w:rsidR="001A7D0C" w:rsidRPr="004C6D20" w:rsidRDefault="001A7D0C" w:rsidP="001A7D0C">
      <w:pPr>
        <w:pStyle w:val="Golobesedilo"/>
        <w:rPr>
          <w:rFonts w:ascii="Arial" w:hAnsi="Arial" w:cs="Arial"/>
          <w:bCs/>
          <w:sz w:val="22"/>
          <w:szCs w:val="22"/>
        </w:rPr>
      </w:pPr>
      <w:r>
        <w:rPr>
          <w:rFonts w:ascii="Arial" w:hAnsi="Arial" w:cs="Arial"/>
          <w:bCs/>
          <w:sz w:val="22"/>
          <w:szCs w:val="22"/>
        </w:rPr>
        <w:t>V obratu smo prepoznali sledeče vire</w:t>
      </w:r>
      <w:r w:rsidR="00291AB0">
        <w:rPr>
          <w:rFonts w:ascii="Arial" w:hAnsi="Arial" w:cs="Arial"/>
          <w:bCs/>
          <w:sz w:val="22"/>
          <w:szCs w:val="22"/>
        </w:rPr>
        <w:t xml:space="preserve"> </w:t>
      </w:r>
      <w:r>
        <w:rPr>
          <w:rFonts w:ascii="Arial" w:hAnsi="Arial" w:cs="Arial"/>
          <w:bCs/>
          <w:sz w:val="22"/>
          <w:szCs w:val="22"/>
        </w:rPr>
        <w:t>v okviru katerih lahko pride do potencialno večjih nesreč:</w:t>
      </w:r>
    </w:p>
    <w:p w14:paraId="7B9AFB56" w14:textId="77777777" w:rsidR="001A7D0C" w:rsidRPr="004C6D20" w:rsidRDefault="001A7D0C" w:rsidP="001A7D0C">
      <w:pPr>
        <w:pStyle w:val="Golobesedilo"/>
        <w:rPr>
          <w:rFonts w:ascii="Arial" w:hAnsi="Arial" w:cs="Arial"/>
          <w:bCs/>
          <w:sz w:val="16"/>
          <w:szCs w:val="16"/>
        </w:rPr>
      </w:pPr>
    </w:p>
    <w:p w14:paraId="03A91E10" w14:textId="6D1BDA61" w:rsidR="001A7D0C" w:rsidRPr="00202713" w:rsidRDefault="004C51AF" w:rsidP="001A7D0C">
      <w:pPr>
        <w:pStyle w:val="Golobesedilo"/>
        <w:numPr>
          <w:ilvl w:val="0"/>
          <w:numId w:val="38"/>
        </w:numPr>
        <w:rPr>
          <w:rFonts w:ascii="Arial" w:hAnsi="Arial" w:cs="Arial"/>
          <w:bCs/>
          <w:sz w:val="16"/>
          <w:szCs w:val="16"/>
        </w:rPr>
      </w:pPr>
      <w:r>
        <w:rPr>
          <w:rFonts w:ascii="Arial" w:hAnsi="Arial" w:cs="Arial"/>
          <w:bCs/>
          <w:sz w:val="22"/>
          <w:szCs w:val="22"/>
        </w:rPr>
        <w:t>Transport</w:t>
      </w:r>
      <w:r w:rsidR="001A7D0C">
        <w:rPr>
          <w:rFonts w:ascii="Arial" w:hAnsi="Arial" w:cs="Arial"/>
          <w:bCs/>
          <w:sz w:val="22"/>
          <w:szCs w:val="22"/>
        </w:rPr>
        <w:t>,</w:t>
      </w:r>
      <w:r>
        <w:rPr>
          <w:rFonts w:ascii="Arial" w:hAnsi="Arial" w:cs="Arial"/>
          <w:bCs/>
          <w:sz w:val="22"/>
          <w:szCs w:val="22"/>
        </w:rPr>
        <w:t xml:space="preserve"> </w:t>
      </w:r>
      <w:r w:rsidR="001A7D0C" w:rsidRPr="004C6D20">
        <w:rPr>
          <w:rFonts w:ascii="Arial" w:hAnsi="Arial" w:cs="Arial"/>
          <w:bCs/>
          <w:sz w:val="22"/>
          <w:szCs w:val="22"/>
        </w:rPr>
        <w:t xml:space="preserve">pretakanje </w:t>
      </w:r>
      <w:r w:rsidR="001A7D0C">
        <w:rPr>
          <w:rFonts w:ascii="Arial" w:hAnsi="Arial" w:cs="Arial"/>
          <w:bCs/>
          <w:sz w:val="22"/>
          <w:szCs w:val="22"/>
        </w:rPr>
        <w:t xml:space="preserve">in skladiščenje </w:t>
      </w:r>
      <w:r w:rsidR="001A7D0C" w:rsidRPr="004C6D20">
        <w:rPr>
          <w:rFonts w:ascii="Arial" w:hAnsi="Arial" w:cs="Arial"/>
          <w:bCs/>
          <w:sz w:val="22"/>
          <w:szCs w:val="22"/>
        </w:rPr>
        <w:t xml:space="preserve">ELKO ali D2. </w:t>
      </w:r>
    </w:p>
    <w:p w14:paraId="0063E32A" w14:textId="77777777" w:rsidR="00574F4A" w:rsidRDefault="00574F4A" w:rsidP="00574F4A">
      <w:pPr>
        <w:pStyle w:val="Golobesedilo"/>
        <w:rPr>
          <w:rFonts w:ascii="Arial" w:hAnsi="Arial" w:cs="Arial"/>
          <w:bCs/>
          <w:sz w:val="16"/>
          <w:szCs w:val="16"/>
        </w:rPr>
      </w:pPr>
    </w:p>
    <w:p w14:paraId="49E80F2D" w14:textId="2F739690" w:rsidR="001A7D0C" w:rsidRPr="00234C31" w:rsidRDefault="001A7D0C" w:rsidP="00574F4A">
      <w:pPr>
        <w:pStyle w:val="Golobesedilo"/>
        <w:rPr>
          <w:rFonts w:ascii="Arial" w:hAnsi="Arial" w:cs="Arial"/>
          <w:bCs/>
          <w:strike/>
          <w:sz w:val="22"/>
          <w:szCs w:val="22"/>
        </w:rPr>
      </w:pPr>
      <w:r>
        <w:rPr>
          <w:rFonts w:ascii="Arial" w:hAnsi="Arial" w:cs="Arial"/>
          <w:bCs/>
          <w:sz w:val="22"/>
          <w:szCs w:val="22"/>
        </w:rPr>
        <w:t>V okviru navedenih aktivnosti lahko pride do izpusta goriva</w:t>
      </w:r>
      <w:r w:rsidR="00291AB0">
        <w:rPr>
          <w:rFonts w:ascii="Arial" w:hAnsi="Arial" w:cs="Arial"/>
          <w:bCs/>
          <w:sz w:val="22"/>
          <w:szCs w:val="22"/>
        </w:rPr>
        <w:t xml:space="preserve"> iz rezervoarjev ali tovornih vozil</w:t>
      </w:r>
      <w:r>
        <w:rPr>
          <w:rFonts w:ascii="Arial" w:hAnsi="Arial" w:cs="Arial"/>
          <w:bCs/>
          <w:sz w:val="22"/>
          <w:szCs w:val="22"/>
        </w:rPr>
        <w:t xml:space="preserve"> v lovilne sklede, ki lahko vodijo tudi do vžiga</w:t>
      </w:r>
      <w:r w:rsidR="00291AB0">
        <w:rPr>
          <w:rFonts w:ascii="Arial" w:hAnsi="Arial" w:cs="Arial"/>
          <w:bCs/>
          <w:sz w:val="22"/>
          <w:szCs w:val="22"/>
        </w:rPr>
        <w:t xml:space="preserve"> in/ali eksplozije</w:t>
      </w:r>
      <w:r>
        <w:rPr>
          <w:rFonts w:ascii="Arial" w:hAnsi="Arial" w:cs="Arial"/>
          <w:bCs/>
          <w:sz w:val="22"/>
          <w:szCs w:val="22"/>
        </w:rPr>
        <w:t xml:space="preserve">. </w:t>
      </w:r>
    </w:p>
    <w:p w14:paraId="669B0B09" w14:textId="77777777" w:rsidR="001A7D0C" w:rsidRDefault="001A7D0C" w:rsidP="001A7D0C">
      <w:pPr>
        <w:pStyle w:val="Golobesedilo"/>
        <w:ind w:left="360"/>
        <w:rPr>
          <w:rFonts w:ascii="Arial" w:hAnsi="Arial" w:cs="Arial"/>
          <w:bCs/>
          <w:sz w:val="16"/>
          <w:szCs w:val="16"/>
        </w:rPr>
      </w:pPr>
    </w:p>
    <w:p w14:paraId="6503425E" w14:textId="03FF721F" w:rsidR="001A7D0C" w:rsidRPr="00202713" w:rsidRDefault="001A7D0C" w:rsidP="001A7D0C">
      <w:pPr>
        <w:rPr>
          <w:rFonts w:cs="Arial"/>
        </w:rPr>
      </w:pPr>
      <w:r>
        <w:rPr>
          <w:rFonts w:cs="Arial"/>
        </w:rPr>
        <w:t>V okviru scenarijev so bili kot potencialni vir večjih nesreč tako prepoznani požari</w:t>
      </w:r>
      <w:r w:rsidR="00291AB0">
        <w:rPr>
          <w:rFonts w:cs="Arial"/>
        </w:rPr>
        <w:t xml:space="preserve"> in/ali eksplozije</w:t>
      </w:r>
      <w:r>
        <w:rPr>
          <w:rFonts w:cs="Arial"/>
        </w:rPr>
        <w:t xml:space="preserve">. </w:t>
      </w:r>
    </w:p>
    <w:p w14:paraId="4915F1C8" w14:textId="61030322" w:rsidR="001A7D0C" w:rsidRPr="004C6D20" w:rsidRDefault="001A7D0C" w:rsidP="001A7D0C">
      <w:pPr>
        <w:rPr>
          <w:rFonts w:cs="Arial"/>
        </w:rPr>
      </w:pPr>
      <w:r w:rsidRPr="00202713">
        <w:rPr>
          <w:rFonts w:cs="Arial"/>
        </w:rPr>
        <w:t>V primeru požara</w:t>
      </w:r>
      <w:r w:rsidRPr="00291AB0">
        <w:rPr>
          <w:rFonts w:cs="Arial"/>
        </w:rPr>
        <w:t>/eksplozije</w:t>
      </w:r>
      <w:r w:rsidRPr="00202713">
        <w:rPr>
          <w:rFonts w:cs="Arial"/>
        </w:rPr>
        <w:t xml:space="preserve"> </w:t>
      </w:r>
      <w:r>
        <w:rPr>
          <w:rFonts w:cs="Arial"/>
        </w:rPr>
        <w:t xml:space="preserve">ELKO ali/in D2 vplivno območje ne sega </w:t>
      </w:r>
      <w:r w:rsidRPr="004C6D20">
        <w:rPr>
          <w:rFonts w:cs="Arial"/>
        </w:rPr>
        <w:t>preko meje</w:t>
      </w:r>
      <w:r>
        <w:rPr>
          <w:rFonts w:cs="Arial"/>
        </w:rPr>
        <w:t>, ograje</w:t>
      </w:r>
      <w:r w:rsidRPr="004C6D20">
        <w:rPr>
          <w:rFonts w:cs="Arial"/>
        </w:rPr>
        <w:t xml:space="preserve"> obrata enote TE-TOL</w:t>
      </w:r>
      <w:r>
        <w:rPr>
          <w:rFonts w:cs="Arial"/>
        </w:rPr>
        <w:t>.</w:t>
      </w:r>
      <w:r w:rsidRPr="004C6D20">
        <w:rPr>
          <w:rFonts w:cs="Arial"/>
        </w:rPr>
        <w:t xml:space="preserve"> </w:t>
      </w:r>
      <w:r>
        <w:rPr>
          <w:rFonts w:cs="Arial"/>
        </w:rPr>
        <w:t>I</w:t>
      </w:r>
      <w:r w:rsidRPr="004C6D20">
        <w:rPr>
          <w:rFonts w:cs="Arial"/>
        </w:rPr>
        <w:t xml:space="preserve">zven ograje obrata obstaja le možnost onesnaženja zraka s sajami </w:t>
      </w:r>
      <w:r>
        <w:rPr>
          <w:rFonts w:cs="Arial"/>
        </w:rPr>
        <w:t xml:space="preserve">in dimom </w:t>
      </w:r>
      <w:r w:rsidRPr="004C6D20">
        <w:rPr>
          <w:rFonts w:cs="Arial"/>
        </w:rPr>
        <w:t xml:space="preserve">v primeru požara goriv ELKO/D2. V nobenem scenariju ne pričakujemo </w:t>
      </w:r>
      <w:r>
        <w:rPr>
          <w:rFonts w:cs="Arial"/>
        </w:rPr>
        <w:t xml:space="preserve">drugih </w:t>
      </w:r>
      <w:r w:rsidRPr="004C6D20">
        <w:rPr>
          <w:rFonts w:cs="Arial"/>
        </w:rPr>
        <w:t>posledic za okoliško prebivalstvo.</w:t>
      </w:r>
    </w:p>
    <w:p w14:paraId="1AF6D0C0" w14:textId="0715F533" w:rsidR="004B0C57" w:rsidRDefault="001A7D0C" w:rsidP="00A24B15">
      <w:pPr>
        <w:rPr>
          <w:rFonts w:cs="Arial"/>
        </w:rPr>
      </w:pPr>
      <w:r w:rsidRPr="00A24B15">
        <w:rPr>
          <w:rFonts w:cs="Arial"/>
        </w:rPr>
        <w:t xml:space="preserve">Podrobneje so scenariji potencialnih nesreč z vplivi na okolje in ljudi ter kvantitativno oceno njihovih posledic in pogostosti, vključno z drugimi vsebinami zahtevanimi z Uredbo, opredeljeni v Zasnovi zmanjšanja tveganja za okolje. </w:t>
      </w: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6DC9AD06" w14:textId="77777777" w:rsidTr="00234C31">
        <w:tc>
          <w:tcPr>
            <w:tcW w:w="8897" w:type="dxa"/>
            <w:shd w:val="pct20" w:color="548DD4" w:themeColor="text2" w:themeTint="99" w:fill="auto"/>
          </w:tcPr>
          <w:p w14:paraId="51D4DA5B" w14:textId="381E1221" w:rsidR="004B0C57" w:rsidRPr="004C6D20" w:rsidRDefault="004B0C57" w:rsidP="00234C31">
            <w:pPr>
              <w:pStyle w:val="Naslovnavrsticatabele"/>
              <w:jc w:val="center"/>
              <w:rPr>
                <w:sz w:val="26"/>
                <w:szCs w:val="26"/>
              </w:rPr>
            </w:pPr>
            <w:r w:rsidRPr="004C6D20">
              <w:rPr>
                <w:sz w:val="26"/>
                <w:szCs w:val="26"/>
              </w:rPr>
              <w:lastRenderedPageBreak/>
              <w:t>POTRDITEV</w:t>
            </w:r>
            <w:r>
              <w:rPr>
                <w:sz w:val="26"/>
                <w:szCs w:val="26"/>
              </w:rPr>
              <w:t xml:space="preserve">, DA SE ZA OBRAT IZVAJAJO UKREPI DOLOČENI Z UREDBO, INFORMACIJA O PRIJAVI OBRATA, O IZDELANI ZASNOVI ZMANJŠANJA TVEGANJA ZA OKOLJE </w:t>
            </w:r>
          </w:p>
        </w:tc>
      </w:tr>
    </w:tbl>
    <w:p w14:paraId="6CFFA275" w14:textId="77777777" w:rsidR="004B0C57" w:rsidRPr="004C6D20" w:rsidRDefault="004B0C57" w:rsidP="004B0C57">
      <w:pPr>
        <w:spacing w:before="0" w:after="0" w:line="240" w:lineRule="auto"/>
        <w:rPr>
          <w:rFonts w:cs="Arial"/>
          <w:sz w:val="20"/>
          <w:szCs w:val="20"/>
        </w:rPr>
      </w:pPr>
    </w:p>
    <w:p w14:paraId="26085645" w14:textId="061B56D4" w:rsidR="004B0C57" w:rsidRPr="009F372E" w:rsidRDefault="004B0C57" w:rsidP="009F372E">
      <w:pPr>
        <w:rPr>
          <w:rFonts w:cs="Arial"/>
          <w:bCs/>
        </w:rPr>
      </w:pPr>
      <w:r w:rsidRPr="009F372E">
        <w:rPr>
          <w:rFonts w:cs="Arial"/>
          <w:bCs/>
        </w:rPr>
        <w:t xml:space="preserve">Energetika Ljubljana, </w:t>
      </w:r>
      <w:r w:rsidR="00574F4A">
        <w:rPr>
          <w:rFonts w:cs="Arial"/>
          <w:bCs/>
        </w:rPr>
        <w:t>enota TE-TOL</w:t>
      </w:r>
      <w:r w:rsidRPr="009F372E">
        <w:rPr>
          <w:rFonts w:cs="Arial"/>
          <w:bCs/>
        </w:rPr>
        <w:t xml:space="preserve"> ima izdelano Zasnovo zmanjšanja tveganja za okolje. </w:t>
      </w:r>
    </w:p>
    <w:p w14:paraId="28E260F8" w14:textId="77777777" w:rsidR="004B0C57" w:rsidRPr="009F372E" w:rsidRDefault="004B0C57" w:rsidP="009F372E">
      <w:pPr>
        <w:rPr>
          <w:rFonts w:cs="Arial"/>
          <w:bCs/>
        </w:rPr>
      </w:pPr>
      <w:r w:rsidRPr="009F372E">
        <w:rPr>
          <w:rFonts w:cs="Arial"/>
          <w:bCs/>
        </w:rPr>
        <w:t xml:space="preserve"> </w:t>
      </w:r>
    </w:p>
    <w:p w14:paraId="0FAEE403" w14:textId="5C5A64C9" w:rsidR="004B0C57" w:rsidRPr="009F372E" w:rsidRDefault="004B0C57" w:rsidP="009F372E">
      <w:pPr>
        <w:rPr>
          <w:rFonts w:cs="Arial"/>
          <w:bCs/>
        </w:rPr>
      </w:pPr>
      <w:r w:rsidRPr="009F372E">
        <w:rPr>
          <w:rFonts w:cs="Arial"/>
          <w:bCs/>
        </w:rPr>
        <w:t>V družbi je zavedanje, da s svojo dejavnostjo vpliva na okolj</w:t>
      </w:r>
      <w:r w:rsidR="00574F4A">
        <w:rPr>
          <w:rFonts w:cs="Arial"/>
          <w:bCs/>
        </w:rPr>
        <w:t>e, predvsem pa, da predstavlja</w:t>
      </w:r>
      <w:r w:rsidRPr="009F372E">
        <w:rPr>
          <w:rFonts w:cs="Arial"/>
          <w:bCs/>
        </w:rPr>
        <w:t xml:space="preserve"> potencialno tveganje za okolje zaradi možnosti nastanka nesreč z nevarnimi snovmi, na visoki ravni. V prvi vrsti je cilj družbe izvajanje vseh ukrepov namenjenih preprečevanju večjih nesreč. V primeru, da bi do nesreče prišlo, pa tudi izvajanje vseh ukrepov za zmanjšanje negativnih posledic nesreče. Na podlagi prepoznanih tveganj za večjo nesrečo izvajamo sistemske ukrepe in smo usmerjeni k izboljševanju sistema obvladovanja varnosti. Da bi preprečili </w:t>
      </w:r>
      <w:r w:rsidR="009F372E">
        <w:rPr>
          <w:rFonts w:cs="Arial"/>
          <w:bCs/>
        </w:rPr>
        <w:t>večje</w:t>
      </w:r>
      <w:r w:rsidRPr="009F372E">
        <w:rPr>
          <w:rFonts w:cs="Arial"/>
          <w:bCs/>
        </w:rPr>
        <w:t xml:space="preserve"> nesreče in nesreče nasploh ter s ciljem zmanjšanja negativnih posledic na najmanjšo možno raven, družba velik poudarek daje tudi izobraževanju in osveščanju zaposlenih.</w:t>
      </w:r>
    </w:p>
    <w:p w14:paraId="628BB802" w14:textId="77777777" w:rsidR="0072495C" w:rsidRPr="004C6D20" w:rsidRDefault="0072495C" w:rsidP="004B0C57">
      <w:pPr>
        <w:spacing w:before="0" w:after="0" w:line="240" w:lineRule="auto"/>
        <w:rPr>
          <w:rFonts w:cs="Arial"/>
        </w:rPr>
      </w:pPr>
    </w:p>
    <w:p w14:paraId="24822671" w14:textId="4327ED47" w:rsidR="004B0C57" w:rsidRDefault="004B0C57"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1F5B0C8D" w14:textId="77777777" w:rsidTr="00234C31">
        <w:tc>
          <w:tcPr>
            <w:tcW w:w="8897" w:type="dxa"/>
            <w:shd w:val="pct20" w:color="548DD4" w:themeColor="text2" w:themeTint="99" w:fill="auto"/>
          </w:tcPr>
          <w:p w14:paraId="050802AB" w14:textId="77777777" w:rsidR="004B0C57" w:rsidRPr="004C6D20" w:rsidRDefault="004B0C57" w:rsidP="00234C31">
            <w:pPr>
              <w:pStyle w:val="Naslovnavrsticatabele"/>
              <w:jc w:val="center"/>
              <w:rPr>
                <w:sz w:val="26"/>
                <w:szCs w:val="26"/>
              </w:rPr>
            </w:pPr>
            <w:r w:rsidRPr="004C6D20">
              <w:rPr>
                <w:sz w:val="26"/>
                <w:szCs w:val="26"/>
              </w:rPr>
              <w:t>POTRDITEV, DA JE ZA OBRAT PRIDOBLJENO OKOLJEVARSTVENO DOVOLJENJE</w:t>
            </w:r>
          </w:p>
        </w:tc>
      </w:tr>
    </w:tbl>
    <w:p w14:paraId="02FD3A12" w14:textId="77777777" w:rsidR="004B0C57" w:rsidRPr="004C6D20" w:rsidRDefault="004B0C57" w:rsidP="004B0C57">
      <w:pPr>
        <w:spacing w:before="0" w:after="0" w:line="240" w:lineRule="auto"/>
        <w:rPr>
          <w:rFonts w:cs="Arial"/>
          <w:sz w:val="20"/>
          <w:szCs w:val="20"/>
        </w:rPr>
      </w:pPr>
    </w:p>
    <w:p w14:paraId="47A96489" w14:textId="5B987504" w:rsidR="004B0C57" w:rsidRDefault="004B0C57" w:rsidP="004B0C57">
      <w:pPr>
        <w:spacing w:before="0" w:after="0" w:line="240" w:lineRule="auto"/>
        <w:rPr>
          <w:rFonts w:cs="Arial"/>
        </w:rPr>
      </w:pPr>
      <w:r w:rsidRPr="004C6D20">
        <w:rPr>
          <w:rFonts w:cs="Arial"/>
        </w:rPr>
        <w:t>Upravljavcu Energetiki Ljubljana, enoti TE-TOL je Agencija Republike Slovenije za okolje izdala Okoljevarstveno dovoljenje za obrat št. 35415-21/2006-9, dne 27.5.2015.</w:t>
      </w:r>
    </w:p>
    <w:p w14:paraId="02CE0143" w14:textId="77777777" w:rsidR="0072495C" w:rsidRDefault="0072495C" w:rsidP="004B0C57">
      <w:pPr>
        <w:spacing w:before="0" w:after="0" w:line="240" w:lineRule="auto"/>
        <w:rPr>
          <w:rFonts w:cs="Arial"/>
        </w:rPr>
      </w:pPr>
    </w:p>
    <w:p w14:paraId="6DC6A77D" w14:textId="697A035F" w:rsidR="004B0C57" w:rsidRDefault="004B0C57"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0119655C" w14:textId="77777777" w:rsidTr="00234C31">
        <w:tc>
          <w:tcPr>
            <w:tcW w:w="8897" w:type="dxa"/>
            <w:shd w:val="pct20" w:color="548DD4" w:themeColor="text2" w:themeTint="99" w:fill="auto"/>
          </w:tcPr>
          <w:p w14:paraId="703D775F" w14:textId="77777777" w:rsidR="004B0C57" w:rsidRPr="004C6D20" w:rsidRDefault="004B0C57" w:rsidP="00234C31">
            <w:pPr>
              <w:pStyle w:val="Naslovnavrsticatabele"/>
              <w:jc w:val="center"/>
              <w:rPr>
                <w:sz w:val="26"/>
                <w:szCs w:val="26"/>
              </w:rPr>
            </w:pPr>
            <w:r w:rsidRPr="004C6D20">
              <w:rPr>
                <w:sz w:val="26"/>
                <w:szCs w:val="26"/>
              </w:rPr>
              <w:t>NAČIN OBVEŠČANJA IN OPOZARJANJA V OKOLICI OBRATA OB VEČJI NESREČI</w:t>
            </w:r>
          </w:p>
        </w:tc>
      </w:tr>
    </w:tbl>
    <w:p w14:paraId="465238FD" w14:textId="77777777" w:rsidR="004B0C57" w:rsidRPr="004C6D20" w:rsidRDefault="004B0C57" w:rsidP="004B0C57">
      <w:pPr>
        <w:rPr>
          <w:rFonts w:cs="Arial"/>
          <w:bCs/>
        </w:rPr>
      </w:pPr>
    </w:p>
    <w:p w14:paraId="5B610F16" w14:textId="38A813A1" w:rsidR="004B0C57" w:rsidRPr="004C6D20" w:rsidRDefault="004B0C57" w:rsidP="004B0C57">
      <w:pPr>
        <w:rPr>
          <w:rFonts w:cs="Arial"/>
          <w:bCs/>
        </w:rPr>
      </w:pPr>
      <w:r w:rsidRPr="004C6D20">
        <w:rPr>
          <w:rFonts w:cs="Arial"/>
          <w:bCs/>
        </w:rPr>
        <w:t xml:space="preserve">Obveščanje javnosti in prebivalcev v okolici obrata ob večji nesreči poteka preko sredstev javnega obveščanja, ki ga izvaja </w:t>
      </w:r>
      <w:proofErr w:type="spellStart"/>
      <w:r w:rsidRPr="004C6D20">
        <w:rPr>
          <w:rFonts w:cs="Arial"/>
          <w:bCs/>
        </w:rPr>
        <w:t>ReCO</w:t>
      </w:r>
      <w:proofErr w:type="spellEnd"/>
      <w:r w:rsidRPr="004C6D20">
        <w:rPr>
          <w:rFonts w:cs="Arial"/>
          <w:bCs/>
        </w:rPr>
        <w:t xml:space="preserve"> (</w:t>
      </w:r>
      <w:r w:rsidR="006857A2">
        <w:rPr>
          <w:rFonts w:cs="Arial"/>
          <w:bCs/>
        </w:rPr>
        <w:t>Regijski Center za Obveščanje) ter preko medijev.</w:t>
      </w:r>
    </w:p>
    <w:p w14:paraId="358CA7BE" w14:textId="77777777" w:rsidR="004B0C57" w:rsidRPr="004C6D20" w:rsidRDefault="004B0C57" w:rsidP="004B0C57">
      <w:pPr>
        <w:rPr>
          <w:rFonts w:cs="Arial"/>
          <w:bCs/>
          <w:strike/>
        </w:rPr>
      </w:pPr>
    </w:p>
    <w:p w14:paraId="700BFB50" w14:textId="18F7579C" w:rsidR="004B0C57" w:rsidRDefault="004B0C57" w:rsidP="004B0C57">
      <w:pPr>
        <w:rPr>
          <w:rFonts w:cs="Arial"/>
          <w:bCs/>
        </w:rPr>
      </w:pPr>
      <w:r w:rsidRPr="004C6D20">
        <w:rPr>
          <w:rFonts w:cs="Arial"/>
          <w:bCs/>
        </w:rPr>
        <w:t xml:space="preserve">V obratu je 24 </w:t>
      </w:r>
      <w:r w:rsidR="00D4440E">
        <w:rPr>
          <w:rFonts w:cs="Arial"/>
          <w:bCs/>
        </w:rPr>
        <w:t>ur na dan prisoten Vodja izmene</w:t>
      </w:r>
      <w:r w:rsidRPr="004C6D20">
        <w:rPr>
          <w:rFonts w:cs="Arial"/>
          <w:bCs/>
        </w:rPr>
        <w:t xml:space="preserve">, ki v primeru nesreče ukrepa v skladu z </w:t>
      </w:r>
      <w:r w:rsidRPr="004C6D20">
        <w:rPr>
          <w:rFonts w:cs="Arial"/>
        </w:rPr>
        <w:t>Načrtom zaščite in reševanja (ZIR) ob naravnih in drugih nesrečah v enoti TE-TOL (NZIR_TETOL/01 z dne 14. 10. 2022)</w:t>
      </w:r>
      <w:r w:rsidRPr="004C6D20">
        <w:rPr>
          <w:rFonts w:cs="Arial"/>
          <w:bCs/>
        </w:rPr>
        <w:t xml:space="preserve">, in sproži vse ostale potrebne postopke. </w:t>
      </w:r>
    </w:p>
    <w:p w14:paraId="7876980A" w14:textId="77777777" w:rsidR="0072495C" w:rsidRPr="004C6D20" w:rsidRDefault="0072495C" w:rsidP="004B0C57">
      <w:pPr>
        <w:rPr>
          <w:rFonts w:cs="Arial"/>
          <w:bCs/>
        </w:rPr>
      </w:pPr>
    </w:p>
    <w:p w14:paraId="08E0415C" w14:textId="52703D57" w:rsidR="004B0C57" w:rsidRDefault="004B0C57"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4B0C57" w:rsidRPr="004C6D20" w14:paraId="1A369E72" w14:textId="77777777" w:rsidTr="00234C31">
        <w:tc>
          <w:tcPr>
            <w:tcW w:w="8897" w:type="dxa"/>
            <w:shd w:val="pct20" w:color="548DD4" w:themeColor="text2" w:themeTint="99" w:fill="auto"/>
          </w:tcPr>
          <w:p w14:paraId="2BC40668" w14:textId="77777777" w:rsidR="004B0C57" w:rsidRPr="004C6D20" w:rsidRDefault="004B0C57" w:rsidP="00234C31">
            <w:pPr>
              <w:pStyle w:val="Naslovnavrsticatabele"/>
              <w:jc w:val="center"/>
              <w:rPr>
                <w:sz w:val="26"/>
                <w:szCs w:val="26"/>
              </w:rPr>
            </w:pPr>
            <w:r w:rsidRPr="004C6D20">
              <w:rPr>
                <w:sz w:val="26"/>
                <w:szCs w:val="26"/>
              </w:rPr>
              <w:t>NAPOTKI ZA USTREZNO UKREPANJE IN RAVNANJE OB VEČJI NESREČI</w:t>
            </w:r>
          </w:p>
        </w:tc>
      </w:tr>
    </w:tbl>
    <w:p w14:paraId="3C694D03" w14:textId="77777777" w:rsidR="004B0C57" w:rsidRPr="004C6D20" w:rsidRDefault="004B0C57" w:rsidP="004B0C57">
      <w:pPr>
        <w:rPr>
          <w:rFonts w:cs="Arial"/>
          <w:sz w:val="20"/>
          <w:szCs w:val="20"/>
        </w:rPr>
      </w:pPr>
    </w:p>
    <w:p w14:paraId="765CF789" w14:textId="77777777" w:rsidR="0072495C" w:rsidRDefault="004B0C57" w:rsidP="004B0C57">
      <w:pPr>
        <w:rPr>
          <w:rFonts w:cs="Arial"/>
        </w:rPr>
      </w:pPr>
      <w:r w:rsidRPr="004C6D20">
        <w:rPr>
          <w:rFonts w:cs="Arial"/>
        </w:rPr>
        <w:t>Napotki v primeru večje nesreče za preprečitev in blažitev posledic na ljudi in imetje v širši okolici obrata so opredeljeni v Načrtu zaščite in reševanja Priloga 13 (Priporočila za izvajanje osebne in vzajemne zaščite ob nesrečah z nevarnimi snovmi in ob izpostavljenosti dimu ob požarih).</w:t>
      </w:r>
    </w:p>
    <w:p w14:paraId="05CC47B3" w14:textId="19B7BD70" w:rsidR="0072495C" w:rsidRDefault="0072495C" w:rsidP="004B0C57">
      <w:pPr>
        <w:rPr>
          <w:rFonts w:cs="Arial"/>
        </w:rPr>
      </w:pPr>
    </w:p>
    <w:p w14:paraId="38EB2730" w14:textId="77777777" w:rsidR="00574F4A" w:rsidRDefault="00574F4A" w:rsidP="004B0C57">
      <w:pPr>
        <w:rPr>
          <w:rFonts w:cs="Arial"/>
        </w:rPr>
      </w:pPr>
    </w:p>
    <w:p w14:paraId="7A63EC86" w14:textId="25173155" w:rsidR="00614BB5" w:rsidRDefault="004B0C57" w:rsidP="004B0C57">
      <w:pPr>
        <w:rPr>
          <w:rFonts w:cs="Arial"/>
        </w:rPr>
      </w:pPr>
      <w:r w:rsidRPr="004C6D20">
        <w:rPr>
          <w:rFonts w:cs="Arial"/>
        </w:rPr>
        <w:t xml:space="preserve"> </w:t>
      </w:r>
    </w:p>
    <w:p w14:paraId="06B6F9F1" w14:textId="2DC21225" w:rsidR="004B0C57" w:rsidRPr="00614BB5" w:rsidRDefault="004B0C57" w:rsidP="004B0C57">
      <w:pPr>
        <w:rPr>
          <w:rFonts w:cs="Arial"/>
          <w:b/>
        </w:rPr>
      </w:pPr>
      <w:r w:rsidRPr="0072495C">
        <w:rPr>
          <w:rFonts w:cs="Arial"/>
          <w:b/>
        </w:rPr>
        <w:lastRenderedPageBreak/>
        <w:t>Splošna priporočila v primeru večje nesreče za preprečitev in blažitev posledic na ljudi in imetje v okolici obrata</w:t>
      </w:r>
    </w:p>
    <w:p w14:paraId="4FA31587" w14:textId="77777777" w:rsidR="00614BB5" w:rsidRPr="0072495C" w:rsidRDefault="00614BB5" w:rsidP="004B0C57">
      <w:pPr>
        <w:rPr>
          <w:rFonts w:cs="Arial"/>
          <w:b/>
        </w:rPr>
      </w:pPr>
    </w:p>
    <w:p w14:paraId="57639A88" w14:textId="5C2A30BD" w:rsidR="00774D33" w:rsidRPr="009F372E" w:rsidRDefault="00774D33" w:rsidP="009F372E">
      <w:pPr>
        <w:pStyle w:val="Odstavekseznama"/>
        <w:numPr>
          <w:ilvl w:val="0"/>
          <w:numId w:val="38"/>
        </w:numPr>
        <w:rPr>
          <w:rFonts w:cs="Arial"/>
        </w:rPr>
      </w:pPr>
      <w:r w:rsidRPr="009F372E">
        <w:rPr>
          <w:rFonts w:cs="Arial"/>
        </w:rPr>
        <w:t>Če opazite nevarnost (ogenj</w:t>
      </w:r>
      <w:r w:rsidR="00DC7850" w:rsidRPr="009F372E">
        <w:rPr>
          <w:rFonts w:cs="Arial"/>
        </w:rPr>
        <w:t xml:space="preserve"> ali dim</w:t>
      </w:r>
      <w:r w:rsidRPr="009F372E">
        <w:rPr>
          <w:rFonts w:cs="Arial"/>
        </w:rPr>
        <w:t xml:space="preserve">) </w:t>
      </w:r>
      <w:r w:rsidRPr="009F372E">
        <w:rPr>
          <w:rFonts w:cs="Arial"/>
          <w:b/>
        </w:rPr>
        <w:t>pokličite Center za obveščanje – telefonska številka 112</w:t>
      </w:r>
      <w:r w:rsidRPr="009F372E">
        <w:rPr>
          <w:rFonts w:cs="Arial"/>
        </w:rPr>
        <w:t xml:space="preserve"> in ga obvestite o dogodku.</w:t>
      </w:r>
    </w:p>
    <w:p w14:paraId="54D7F59F" w14:textId="3A7D66BF" w:rsidR="00774D33" w:rsidRPr="009F372E" w:rsidRDefault="00774D33" w:rsidP="009F372E">
      <w:pPr>
        <w:pStyle w:val="Odstavekseznama"/>
        <w:numPr>
          <w:ilvl w:val="0"/>
          <w:numId w:val="38"/>
        </w:numPr>
        <w:rPr>
          <w:rFonts w:cs="Arial"/>
        </w:rPr>
      </w:pPr>
      <w:r w:rsidRPr="009F372E">
        <w:rPr>
          <w:rFonts w:cs="Arial"/>
          <w:b/>
        </w:rPr>
        <w:t>V primeru zaznave, obvestila ali alarmiranja o nesreči na obratu</w:t>
      </w:r>
      <w:r w:rsidRPr="009F372E">
        <w:rPr>
          <w:rFonts w:cs="Arial"/>
        </w:rPr>
        <w:t>, je potrebno zapreti vsa okna in vrata, se zadrževati v zaprtem prostoru in spremljati sredstva javnega obveščanja. Zaprte prostore se lahko zapusti šele po tem, ko je sprožen alarm za konec nevarnosti.</w:t>
      </w:r>
    </w:p>
    <w:p w14:paraId="779C7E7A" w14:textId="3899C4F2" w:rsidR="00774D33" w:rsidRPr="009F372E" w:rsidRDefault="00A7330E" w:rsidP="009F372E">
      <w:pPr>
        <w:pStyle w:val="Odstavekseznama"/>
        <w:numPr>
          <w:ilvl w:val="0"/>
          <w:numId w:val="38"/>
        </w:numPr>
        <w:rPr>
          <w:rFonts w:cs="Arial"/>
        </w:rPr>
      </w:pPr>
      <w:r w:rsidRPr="009F372E">
        <w:rPr>
          <w:rFonts w:cs="Arial"/>
          <w:b/>
        </w:rPr>
        <w:t>Če se nahajate na prostem v bližini dogodka</w:t>
      </w:r>
      <w:r w:rsidRPr="009F372E">
        <w:rPr>
          <w:rFonts w:cs="Arial"/>
        </w:rPr>
        <w:t>, o</w:t>
      </w:r>
      <w:r w:rsidR="00774D33" w:rsidRPr="009F372E">
        <w:rPr>
          <w:rFonts w:cs="Arial"/>
        </w:rPr>
        <w:t>stanite na tisti strani dogodka, od koder piha veter.</w:t>
      </w:r>
      <w:r w:rsidR="00204148" w:rsidRPr="009F372E">
        <w:rPr>
          <w:rFonts w:cs="Arial"/>
        </w:rPr>
        <w:t xml:space="preserve"> </w:t>
      </w:r>
      <w:r w:rsidR="0098557F" w:rsidRPr="009F372E">
        <w:rPr>
          <w:rFonts w:cs="Arial"/>
        </w:rPr>
        <w:t>Upoštevajte navodila reševalcev.</w:t>
      </w:r>
    </w:p>
    <w:p w14:paraId="6DB7B4E1" w14:textId="77777777" w:rsidR="009F372E" w:rsidRDefault="009F372E" w:rsidP="009F372E">
      <w:pPr>
        <w:rPr>
          <w:rFonts w:cs="Arial"/>
          <w:u w:val="single"/>
        </w:rPr>
      </w:pPr>
    </w:p>
    <w:p w14:paraId="0E4220CA" w14:textId="2E1EC6A7" w:rsidR="0098557F" w:rsidRPr="009F372E" w:rsidRDefault="0098557F" w:rsidP="00574F4A">
      <w:pPr>
        <w:rPr>
          <w:rFonts w:cs="Arial"/>
          <w:u w:val="single"/>
        </w:rPr>
      </w:pPr>
      <w:r w:rsidRPr="009F372E">
        <w:rPr>
          <w:rFonts w:cs="Arial"/>
          <w:u w:val="single"/>
        </w:rPr>
        <w:t xml:space="preserve">Priporočila za varen umik iz nevarnega območja: </w:t>
      </w:r>
    </w:p>
    <w:p w14:paraId="60002593" w14:textId="77777777" w:rsidR="00574F4A" w:rsidRDefault="00574F4A" w:rsidP="00574F4A">
      <w:pPr>
        <w:rPr>
          <w:rFonts w:cs="Arial"/>
        </w:rPr>
      </w:pPr>
    </w:p>
    <w:p w14:paraId="41282323" w14:textId="1CFAE3C1" w:rsidR="00774D33" w:rsidRPr="009F372E" w:rsidRDefault="00774D33" w:rsidP="00574F4A">
      <w:pPr>
        <w:rPr>
          <w:rFonts w:cs="Arial"/>
        </w:rPr>
      </w:pPr>
      <w:r w:rsidRPr="009F372E">
        <w:rPr>
          <w:rFonts w:cs="Arial"/>
        </w:rPr>
        <w:t>Kadar veter nese nevarno snov (vnetljive pline ali produkte gorenja) PROTI VAM, se s kraja nesreče</w:t>
      </w:r>
      <w:r w:rsidR="0072495C" w:rsidRPr="009F372E">
        <w:rPr>
          <w:rFonts w:cs="Arial"/>
        </w:rPr>
        <w:t xml:space="preserve"> </w:t>
      </w:r>
      <w:r w:rsidRPr="009F372E">
        <w:rPr>
          <w:rFonts w:cs="Arial"/>
        </w:rPr>
        <w:t>umaknite bočno – pravokotno – na smer vetra.</w:t>
      </w:r>
    </w:p>
    <w:p w14:paraId="53B7CCF1" w14:textId="77777777" w:rsidR="00574F4A" w:rsidRDefault="00574F4A" w:rsidP="00574F4A">
      <w:pPr>
        <w:rPr>
          <w:rFonts w:cs="Arial"/>
        </w:rPr>
      </w:pPr>
    </w:p>
    <w:p w14:paraId="692C2AD1" w14:textId="5A92FB19" w:rsidR="00A7330E" w:rsidRPr="009F372E" w:rsidRDefault="00A7330E" w:rsidP="00574F4A">
      <w:pPr>
        <w:rPr>
          <w:rFonts w:cs="Arial"/>
        </w:rPr>
      </w:pPr>
      <w:r w:rsidRPr="009F372E">
        <w:rPr>
          <w:rFonts w:cs="Arial"/>
        </w:rPr>
        <w:t>Kadar veter nese nevarno snov (vnetljive pline ali produkte gorenja) STRAN OD VAS, se s kraja nesreče umaknite proti vetru.</w:t>
      </w:r>
    </w:p>
    <w:p w14:paraId="3E4A1067" w14:textId="4903A436" w:rsidR="00774D33" w:rsidRPr="00D63EA7" w:rsidRDefault="00D63EA7" w:rsidP="00D63EA7">
      <w:pPr>
        <w:rPr>
          <w:rFonts w:cs="Arial"/>
        </w:rPr>
      </w:pPr>
      <w:r w:rsidRPr="0098557F">
        <w:rPr>
          <w:rFonts w:cs="Arial"/>
        </w:rPr>
        <w:t xml:space="preserve">     </w:t>
      </w:r>
    </w:p>
    <w:p w14:paraId="5A68B78A" w14:textId="42679143" w:rsidR="004B0C57" w:rsidRPr="004C6D20" w:rsidRDefault="004B0C57" w:rsidP="001D0D76">
      <w:pPr>
        <w:spacing w:before="0" w:after="0" w:line="240" w:lineRule="auto"/>
        <w:rPr>
          <w:rFonts w:cs="Arial"/>
        </w:rPr>
      </w:pPr>
    </w:p>
    <w:tbl>
      <w:tblPr>
        <w:tblStyle w:val="Tabelamrea"/>
        <w:tblW w:w="8897" w:type="dxa"/>
        <w:shd w:val="pct20" w:color="548DD4" w:themeColor="text2" w:themeTint="99" w:fill="auto"/>
        <w:tblLook w:val="04A0" w:firstRow="1" w:lastRow="0" w:firstColumn="1" w:lastColumn="0" w:noHBand="0" w:noVBand="1"/>
      </w:tblPr>
      <w:tblGrid>
        <w:gridCol w:w="8897"/>
      </w:tblGrid>
      <w:tr w:rsidR="009D1F92" w:rsidRPr="004C6D20" w14:paraId="3A81B41B" w14:textId="77777777" w:rsidTr="001427CF">
        <w:tc>
          <w:tcPr>
            <w:tcW w:w="8897" w:type="dxa"/>
            <w:shd w:val="pct20" w:color="548DD4" w:themeColor="text2" w:themeTint="99" w:fill="auto"/>
          </w:tcPr>
          <w:p w14:paraId="39F30132" w14:textId="516CBBE7" w:rsidR="009D1F92" w:rsidRPr="004C6D20" w:rsidRDefault="00011CD9" w:rsidP="009D1F92">
            <w:pPr>
              <w:pStyle w:val="Naslovnavrsticatabele"/>
              <w:jc w:val="center"/>
              <w:rPr>
                <w:sz w:val="26"/>
                <w:szCs w:val="26"/>
              </w:rPr>
            </w:pPr>
            <w:r>
              <w:rPr>
                <w:sz w:val="26"/>
                <w:szCs w:val="26"/>
              </w:rPr>
              <w:t>INFORMACIJE ZA JAVNOST</w:t>
            </w:r>
          </w:p>
        </w:tc>
      </w:tr>
    </w:tbl>
    <w:p w14:paraId="1CE73A97" w14:textId="1F910A54" w:rsidR="001D0D76" w:rsidRDefault="001D0D76" w:rsidP="00011CD9">
      <w:pPr>
        <w:spacing w:before="0" w:after="0" w:line="240" w:lineRule="auto"/>
        <w:rPr>
          <w:rFonts w:cs="Arial"/>
        </w:rPr>
      </w:pPr>
    </w:p>
    <w:p w14:paraId="1A460B50" w14:textId="65C5B7A3" w:rsidR="00011CD9" w:rsidRPr="009F372E" w:rsidRDefault="00011CD9" w:rsidP="009F372E">
      <w:pPr>
        <w:rPr>
          <w:rFonts w:cs="Arial"/>
          <w:b/>
        </w:rPr>
      </w:pPr>
      <w:r w:rsidRPr="009F372E">
        <w:rPr>
          <w:rFonts w:cs="Arial"/>
          <w:b/>
        </w:rPr>
        <w:t>Informacije iz občinskih ali regijskih načrtov zaščite in reševanja</w:t>
      </w:r>
    </w:p>
    <w:p w14:paraId="6D22E591" w14:textId="68F2E75F" w:rsidR="00011CD9" w:rsidRDefault="00011CD9" w:rsidP="009F372E">
      <w:pPr>
        <w:rPr>
          <w:rFonts w:cs="Arial"/>
        </w:rPr>
      </w:pPr>
      <w:r>
        <w:rPr>
          <w:rFonts w:cs="Arial"/>
        </w:rPr>
        <w:t>Ustrezne informacije iz občinskih ali regijskih načrtov zaščite in reševanja, na svojih spletnih straneh zagotavlja Mestna občina Ljubljana.</w:t>
      </w:r>
    </w:p>
    <w:p w14:paraId="23203A7B" w14:textId="2F159847" w:rsidR="00011CD9" w:rsidRDefault="00011CD9" w:rsidP="0049164D">
      <w:pPr>
        <w:spacing w:before="0" w:after="0" w:line="240" w:lineRule="auto"/>
        <w:rPr>
          <w:rFonts w:cs="Arial"/>
        </w:rPr>
      </w:pPr>
    </w:p>
    <w:p w14:paraId="6A7FB076" w14:textId="1C23C2F5" w:rsidR="00011CD9" w:rsidRPr="0072495C" w:rsidRDefault="00011CD9" w:rsidP="009F372E">
      <w:pPr>
        <w:rPr>
          <w:rFonts w:cs="Arial"/>
          <w:b/>
        </w:rPr>
      </w:pPr>
      <w:r w:rsidRPr="0072495C">
        <w:rPr>
          <w:rFonts w:cs="Arial"/>
          <w:b/>
        </w:rPr>
        <w:t>Dodatne informacije</w:t>
      </w:r>
    </w:p>
    <w:p w14:paraId="22FAF963" w14:textId="657768C2" w:rsidR="00011CD9" w:rsidRPr="009F372E" w:rsidRDefault="00011CD9" w:rsidP="009F372E">
      <w:pPr>
        <w:rPr>
          <w:rFonts w:cs="Arial"/>
        </w:rPr>
      </w:pPr>
      <w:r w:rsidRPr="009F372E">
        <w:rPr>
          <w:rFonts w:cs="Arial"/>
        </w:rPr>
        <w:t xml:space="preserve">Dodatne informacije v zvezi z zagotavljanjem in izvajanjem ukrepov za preprečevanje večjih nesreč in zmanjševanje njihovih posledic za obrat manjšega tveganja za okolje za območje </w:t>
      </w:r>
      <w:r w:rsidR="00504B04" w:rsidRPr="009F372E">
        <w:rPr>
          <w:rFonts w:cs="Arial"/>
        </w:rPr>
        <w:t xml:space="preserve">Energetika Ljubljana - </w:t>
      </w:r>
      <w:r w:rsidRPr="009F372E">
        <w:rPr>
          <w:rFonts w:cs="Arial"/>
        </w:rPr>
        <w:t>enot</w:t>
      </w:r>
      <w:r w:rsidR="00504B04" w:rsidRPr="009F372E">
        <w:rPr>
          <w:rFonts w:cs="Arial"/>
        </w:rPr>
        <w:t>a</w:t>
      </w:r>
      <w:r w:rsidRPr="009F372E">
        <w:rPr>
          <w:rFonts w:cs="Arial"/>
        </w:rPr>
        <w:t xml:space="preserve"> TE-TOL, zagotavljamo preko sledečih kontaktov:</w:t>
      </w:r>
    </w:p>
    <w:p w14:paraId="70458863" w14:textId="392FCBF5" w:rsidR="00011CD9" w:rsidRDefault="00011CD9" w:rsidP="004B0C57">
      <w:pPr>
        <w:spacing w:before="0" w:after="0" w:line="240" w:lineRule="auto"/>
        <w:rPr>
          <w:rFonts w:cs="Arial"/>
        </w:rPr>
      </w:pPr>
    </w:p>
    <w:p w14:paraId="79B038C3" w14:textId="5977E378" w:rsidR="00011CD9" w:rsidRPr="009978A3" w:rsidRDefault="00D63EA7" w:rsidP="001D0D76">
      <w:pPr>
        <w:spacing w:before="0" w:after="0" w:line="240" w:lineRule="auto"/>
        <w:rPr>
          <w:rFonts w:cs="Arial"/>
          <w:u w:val="single"/>
        </w:rPr>
      </w:pPr>
      <w:r w:rsidRPr="009978A3">
        <w:rPr>
          <w:rFonts w:cs="Arial"/>
          <w:u w:val="single"/>
        </w:rPr>
        <w:t xml:space="preserve">Poveljnik CZ, </w:t>
      </w:r>
      <w:r w:rsidR="00A24B15">
        <w:rPr>
          <w:rFonts w:cs="Arial"/>
          <w:u w:val="single"/>
        </w:rPr>
        <w:t>Tehnični direktor</w:t>
      </w:r>
    </w:p>
    <w:p w14:paraId="5ED4EE50" w14:textId="7F43597D" w:rsidR="00D63EA7" w:rsidRDefault="00D63EA7" w:rsidP="001D0D76">
      <w:pPr>
        <w:spacing w:before="0" w:after="0" w:line="240" w:lineRule="auto"/>
        <w:rPr>
          <w:rFonts w:cs="Arial"/>
        </w:rPr>
      </w:pPr>
      <w:r>
        <w:rPr>
          <w:rFonts w:cs="Arial"/>
        </w:rPr>
        <w:t xml:space="preserve">Marko Agrež, </w:t>
      </w:r>
      <w:r w:rsidRPr="004C6D20">
        <w:rPr>
          <w:rFonts w:cs="Arial"/>
        </w:rPr>
        <w:t>e-pošta:</w:t>
      </w:r>
      <w:r>
        <w:rPr>
          <w:rFonts w:cs="Arial"/>
        </w:rPr>
        <w:t xml:space="preserve"> </w:t>
      </w:r>
      <w:hyperlink r:id="rId12" w:history="1">
        <w:r w:rsidRPr="0083101A">
          <w:rPr>
            <w:rStyle w:val="Hiperpovezava"/>
            <w:rFonts w:cs="Arial"/>
          </w:rPr>
          <w:t>marko.agrez@energetika.si</w:t>
        </w:r>
      </w:hyperlink>
      <w:r>
        <w:rPr>
          <w:rFonts w:cs="Arial"/>
        </w:rPr>
        <w:t xml:space="preserve"> </w:t>
      </w:r>
    </w:p>
    <w:p w14:paraId="51F54E9A" w14:textId="77777777" w:rsidR="00D63EA7" w:rsidRPr="004C6D20" w:rsidRDefault="00D63EA7" w:rsidP="001D0D76">
      <w:pPr>
        <w:spacing w:before="0" w:after="0" w:line="240" w:lineRule="auto"/>
        <w:rPr>
          <w:rFonts w:cs="Arial"/>
        </w:rPr>
      </w:pPr>
    </w:p>
    <w:p w14:paraId="77645D0E" w14:textId="0126EDAD" w:rsidR="00D63EA7" w:rsidRPr="009978A3" w:rsidRDefault="00D63EA7" w:rsidP="001D0D76">
      <w:pPr>
        <w:spacing w:before="0" w:after="0" w:line="240" w:lineRule="auto"/>
        <w:rPr>
          <w:rFonts w:cs="Arial"/>
          <w:u w:val="single"/>
        </w:rPr>
      </w:pPr>
      <w:r w:rsidRPr="009978A3">
        <w:rPr>
          <w:rFonts w:cs="Arial"/>
          <w:u w:val="single"/>
        </w:rPr>
        <w:t xml:space="preserve">Namestnik poveljnika CZ, </w:t>
      </w:r>
      <w:r w:rsidR="009F372E">
        <w:rPr>
          <w:rFonts w:cs="Arial"/>
          <w:u w:val="single"/>
        </w:rPr>
        <w:t>P</w:t>
      </w:r>
      <w:r w:rsidR="00A24B15">
        <w:rPr>
          <w:rFonts w:cs="Arial"/>
          <w:u w:val="single"/>
        </w:rPr>
        <w:t>ooblaščenec direktorja za v</w:t>
      </w:r>
      <w:r w:rsidR="00504B04" w:rsidRPr="009978A3">
        <w:rPr>
          <w:rFonts w:cs="Arial"/>
          <w:u w:val="single"/>
        </w:rPr>
        <w:t>arstvo pri delu, PV in CZ</w:t>
      </w:r>
    </w:p>
    <w:p w14:paraId="7D226315" w14:textId="65FEE64C" w:rsidR="003923E2" w:rsidRPr="00D63EA7" w:rsidRDefault="00B10D67" w:rsidP="001D0D76">
      <w:pPr>
        <w:spacing w:before="0" w:after="0" w:line="240" w:lineRule="auto"/>
        <w:rPr>
          <w:rStyle w:val="Hiperpovezava"/>
          <w:rFonts w:cs="Arial"/>
          <w:color w:val="auto"/>
          <w:u w:val="none"/>
        </w:rPr>
      </w:pPr>
      <w:r w:rsidRPr="00D63EA7">
        <w:rPr>
          <w:rFonts w:cs="Arial"/>
        </w:rPr>
        <w:t>Aleksander Klopčič</w:t>
      </w:r>
      <w:r w:rsidR="00A117E2" w:rsidRPr="00D63EA7">
        <w:rPr>
          <w:rFonts w:cs="Arial"/>
        </w:rPr>
        <w:t>,</w:t>
      </w:r>
      <w:r w:rsidR="00A117E2" w:rsidRPr="004C6D20">
        <w:rPr>
          <w:rFonts w:cs="Arial"/>
        </w:rPr>
        <w:t xml:space="preserve"> </w:t>
      </w:r>
      <w:r w:rsidRPr="004C6D20">
        <w:rPr>
          <w:rFonts w:cs="Arial"/>
        </w:rPr>
        <w:t xml:space="preserve">e-pošta: </w:t>
      </w:r>
      <w:hyperlink r:id="rId13" w:history="1">
        <w:r w:rsidR="00F45567" w:rsidRPr="004C6D20">
          <w:rPr>
            <w:rStyle w:val="Hiperpovezava"/>
            <w:rFonts w:cs="Arial"/>
          </w:rPr>
          <w:t>aleksander.klopcic@energetika.si</w:t>
        </w:r>
      </w:hyperlink>
    </w:p>
    <w:p w14:paraId="1024086A" w14:textId="4B7E1DA2" w:rsidR="00810007" w:rsidRDefault="00810007" w:rsidP="001D0D76">
      <w:pPr>
        <w:spacing w:before="0" w:after="0" w:line="240" w:lineRule="auto"/>
        <w:rPr>
          <w:rStyle w:val="Hiperpovezava"/>
          <w:rFonts w:cs="Arial"/>
        </w:rPr>
      </w:pPr>
    </w:p>
    <w:p w14:paraId="40439E01" w14:textId="483C0DA3" w:rsidR="00810007" w:rsidRPr="009978A3" w:rsidRDefault="00DC7850" w:rsidP="001D0D76">
      <w:pPr>
        <w:spacing w:before="0" w:after="0" w:line="240" w:lineRule="auto"/>
        <w:rPr>
          <w:rStyle w:val="Hiperpovezava"/>
          <w:rFonts w:cs="Arial"/>
          <w:color w:val="auto"/>
        </w:rPr>
      </w:pPr>
      <w:r>
        <w:rPr>
          <w:rStyle w:val="Hiperpovezava"/>
          <w:rFonts w:cs="Arial"/>
          <w:color w:val="auto"/>
        </w:rPr>
        <w:t>Pooblaščenec direktorja za okolje in kakovost</w:t>
      </w:r>
    </w:p>
    <w:p w14:paraId="24BFD329" w14:textId="6CB96ACF" w:rsidR="00810007" w:rsidRPr="004C6D20" w:rsidRDefault="00810007" w:rsidP="001D0D76">
      <w:pPr>
        <w:spacing w:before="0" w:after="0" w:line="240" w:lineRule="auto"/>
        <w:rPr>
          <w:rFonts w:cs="Arial"/>
        </w:rPr>
      </w:pPr>
      <w:r w:rsidRPr="00D63EA7">
        <w:rPr>
          <w:rStyle w:val="Hiperpovezava"/>
          <w:rFonts w:cs="Arial"/>
          <w:color w:val="auto"/>
          <w:u w:val="none"/>
        </w:rPr>
        <w:t xml:space="preserve">Irena Debeljak, e-pošta: </w:t>
      </w:r>
      <w:hyperlink r:id="rId14" w:history="1">
        <w:r w:rsidR="004B0C57" w:rsidRPr="00864BCD">
          <w:rPr>
            <w:rStyle w:val="Hiperpovezava"/>
            <w:rFonts w:cs="Arial"/>
          </w:rPr>
          <w:t>irena.debeljak@energetika.si</w:t>
        </w:r>
      </w:hyperlink>
      <w:r w:rsidR="004B0C57">
        <w:rPr>
          <w:rStyle w:val="Hiperpovezava"/>
          <w:rFonts w:cs="Arial"/>
        </w:rPr>
        <w:t xml:space="preserve"> </w:t>
      </w:r>
    </w:p>
    <w:p w14:paraId="0B7ED559" w14:textId="31004A27" w:rsidR="00AE30B7" w:rsidRPr="004C6D20" w:rsidRDefault="00AE30B7" w:rsidP="001427CF">
      <w:pPr>
        <w:spacing w:before="0" w:after="0"/>
        <w:rPr>
          <w:rFonts w:cs="Arial"/>
          <w:sz w:val="20"/>
        </w:rPr>
      </w:pPr>
    </w:p>
    <w:sectPr w:rsidR="00AE30B7" w:rsidRPr="004C6D20" w:rsidSect="00F45567">
      <w:footerReference w:type="default" r:id="rId15"/>
      <w:pgSz w:w="11906" w:h="16838"/>
      <w:pgMar w:top="993" w:right="1417" w:bottom="567" w:left="1701" w:header="708" w:footer="3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7231" w14:textId="77777777" w:rsidR="00E30FDC" w:rsidRDefault="00E30FDC" w:rsidP="009A4B40">
      <w:pPr>
        <w:spacing w:after="0" w:line="240" w:lineRule="auto"/>
      </w:pPr>
      <w:r>
        <w:separator/>
      </w:r>
    </w:p>
  </w:endnote>
  <w:endnote w:type="continuationSeparator" w:id="0">
    <w:p w14:paraId="17785801" w14:textId="77777777" w:rsidR="00E30FDC" w:rsidRDefault="00E30FDC" w:rsidP="009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66060"/>
      <w:docPartObj>
        <w:docPartGallery w:val="Page Numbers (Bottom of Page)"/>
        <w:docPartUnique/>
      </w:docPartObj>
    </w:sdtPr>
    <w:sdtEndPr>
      <w:rPr>
        <w:rFonts w:asciiTheme="minorHAnsi" w:hAnsiTheme="minorHAnsi"/>
        <w:noProof/>
        <w:sz w:val="16"/>
        <w:szCs w:val="16"/>
      </w:rPr>
    </w:sdtEndPr>
    <w:sdtContent>
      <w:p w14:paraId="414D53CF" w14:textId="043283A2" w:rsidR="00A15E66" w:rsidRPr="00F45226" w:rsidRDefault="00A15E66">
        <w:pPr>
          <w:pStyle w:val="Noga"/>
          <w:jc w:val="center"/>
          <w:rPr>
            <w:rFonts w:asciiTheme="minorHAnsi" w:hAnsiTheme="minorHAnsi"/>
            <w:sz w:val="16"/>
            <w:szCs w:val="16"/>
          </w:rPr>
        </w:pPr>
        <w:r w:rsidRPr="00F45226">
          <w:rPr>
            <w:rFonts w:asciiTheme="minorHAnsi" w:hAnsiTheme="minorHAnsi"/>
            <w:sz w:val="16"/>
            <w:szCs w:val="16"/>
          </w:rPr>
          <w:fldChar w:fldCharType="begin"/>
        </w:r>
        <w:r w:rsidRPr="00F45226">
          <w:rPr>
            <w:rFonts w:asciiTheme="minorHAnsi" w:hAnsiTheme="minorHAnsi"/>
            <w:sz w:val="16"/>
            <w:szCs w:val="16"/>
          </w:rPr>
          <w:instrText xml:space="preserve"> PAGE   \* MERGEFORMAT </w:instrText>
        </w:r>
        <w:r w:rsidRPr="00F45226">
          <w:rPr>
            <w:rFonts w:asciiTheme="minorHAnsi" w:hAnsiTheme="minorHAnsi"/>
            <w:sz w:val="16"/>
            <w:szCs w:val="16"/>
          </w:rPr>
          <w:fldChar w:fldCharType="separate"/>
        </w:r>
        <w:r w:rsidR="00412B45">
          <w:rPr>
            <w:rFonts w:asciiTheme="minorHAnsi" w:hAnsiTheme="minorHAnsi"/>
            <w:noProof/>
            <w:sz w:val="16"/>
            <w:szCs w:val="16"/>
          </w:rPr>
          <w:t>4</w:t>
        </w:r>
        <w:r w:rsidRPr="00F45226">
          <w:rPr>
            <w:rFonts w:asciiTheme="minorHAnsi" w:hAnsiTheme="minorHAnsi"/>
            <w:noProof/>
            <w:sz w:val="16"/>
            <w:szCs w:val="16"/>
          </w:rPr>
          <w:fldChar w:fldCharType="end"/>
        </w:r>
      </w:p>
    </w:sdtContent>
  </w:sdt>
  <w:p w14:paraId="4E950404" w14:textId="77777777" w:rsidR="00A15E66" w:rsidRDefault="00A15E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ABDB" w14:textId="77777777" w:rsidR="00E30FDC" w:rsidRDefault="00E30FDC" w:rsidP="009A4B40">
      <w:pPr>
        <w:spacing w:after="0" w:line="240" w:lineRule="auto"/>
      </w:pPr>
      <w:r>
        <w:separator/>
      </w:r>
    </w:p>
  </w:footnote>
  <w:footnote w:type="continuationSeparator" w:id="0">
    <w:p w14:paraId="7D36AF7A" w14:textId="77777777" w:rsidR="00E30FDC" w:rsidRDefault="00E30FDC" w:rsidP="009A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34"/>
    <w:multiLevelType w:val="hybridMultilevel"/>
    <w:tmpl w:val="15441C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540F12"/>
    <w:multiLevelType w:val="hybridMultilevel"/>
    <w:tmpl w:val="C1509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8B676A"/>
    <w:multiLevelType w:val="hybridMultilevel"/>
    <w:tmpl w:val="1456AD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3111A7"/>
    <w:multiLevelType w:val="hybridMultilevel"/>
    <w:tmpl w:val="D760F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C87FE9"/>
    <w:multiLevelType w:val="hybridMultilevel"/>
    <w:tmpl w:val="C73C0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53DB7"/>
    <w:multiLevelType w:val="hybridMultilevel"/>
    <w:tmpl w:val="9ED83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F56BB4"/>
    <w:multiLevelType w:val="hybridMultilevel"/>
    <w:tmpl w:val="5E28C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C753C2"/>
    <w:multiLevelType w:val="hybridMultilevel"/>
    <w:tmpl w:val="E7986C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35CC6"/>
    <w:multiLevelType w:val="hybridMultilevel"/>
    <w:tmpl w:val="201C13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B462B2"/>
    <w:multiLevelType w:val="hybridMultilevel"/>
    <w:tmpl w:val="3DAAF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F3475C"/>
    <w:multiLevelType w:val="hybridMultilevel"/>
    <w:tmpl w:val="9AB6BD3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1D65BE"/>
    <w:multiLevelType w:val="hybridMultilevel"/>
    <w:tmpl w:val="E44A8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3C424D"/>
    <w:multiLevelType w:val="multilevel"/>
    <w:tmpl w:val="A71687E2"/>
    <w:lvl w:ilvl="0">
      <w:start w:val="1"/>
      <w:numFmt w:val="decimal"/>
      <w:pStyle w:val="Naslov1"/>
      <w:lvlText w:val="%1."/>
      <w:lvlJc w:val="left"/>
      <w:pPr>
        <w:ind w:left="720" w:hanging="360"/>
      </w:p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3549DB"/>
    <w:multiLevelType w:val="hybridMultilevel"/>
    <w:tmpl w:val="50540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60476"/>
    <w:multiLevelType w:val="hybridMultilevel"/>
    <w:tmpl w:val="B0D2F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B3728C"/>
    <w:multiLevelType w:val="hybridMultilevel"/>
    <w:tmpl w:val="66EC0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494C5A"/>
    <w:multiLevelType w:val="hybridMultilevel"/>
    <w:tmpl w:val="B0F0828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EB676E"/>
    <w:multiLevelType w:val="multilevel"/>
    <w:tmpl w:val="7DEC40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960657"/>
    <w:multiLevelType w:val="hybridMultilevel"/>
    <w:tmpl w:val="D10AF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4A5B07"/>
    <w:multiLevelType w:val="hybridMultilevel"/>
    <w:tmpl w:val="A3F47996"/>
    <w:lvl w:ilvl="0" w:tplc="9ABA4A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A138D5"/>
    <w:multiLevelType w:val="hybridMultilevel"/>
    <w:tmpl w:val="EF1499F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1" w15:restartNumberingAfterBreak="0">
    <w:nsid w:val="3D034CA3"/>
    <w:multiLevelType w:val="hybridMultilevel"/>
    <w:tmpl w:val="8EA610D0"/>
    <w:lvl w:ilvl="0" w:tplc="0104307C">
      <w:numFmt w:val="bullet"/>
      <w:lvlText w:val="-"/>
      <w:lvlJc w:val="left"/>
      <w:pPr>
        <w:ind w:left="720" w:hanging="360"/>
      </w:pPr>
      <w:rPr>
        <w:rFonts w:ascii="Calibri" w:eastAsia="Times New Roman"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26188C"/>
    <w:multiLevelType w:val="hybridMultilevel"/>
    <w:tmpl w:val="B65433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EF29EA"/>
    <w:multiLevelType w:val="hybridMultilevel"/>
    <w:tmpl w:val="823239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F1698D"/>
    <w:multiLevelType w:val="hybridMultilevel"/>
    <w:tmpl w:val="3D484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5B1ED6"/>
    <w:multiLevelType w:val="hybridMultilevel"/>
    <w:tmpl w:val="7B8AF0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D03536"/>
    <w:multiLevelType w:val="hybridMultilevel"/>
    <w:tmpl w:val="99D2A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C3126EA"/>
    <w:multiLevelType w:val="hybridMultilevel"/>
    <w:tmpl w:val="38D23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1029B4"/>
    <w:multiLevelType w:val="hybridMultilevel"/>
    <w:tmpl w:val="1C6CC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022263"/>
    <w:multiLevelType w:val="hybridMultilevel"/>
    <w:tmpl w:val="F5427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A71957"/>
    <w:multiLevelType w:val="hybridMultilevel"/>
    <w:tmpl w:val="877E4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FA527F"/>
    <w:multiLevelType w:val="hybridMultilevel"/>
    <w:tmpl w:val="1AE2D250"/>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2" w15:restartNumberingAfterBreak="0">
    <w:nsid w:val="5CE33EB1"/>
    <w:multiLevelType w:val="hybridMultilevel"/>
    <w:tmpl w:val="7B0A9C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8406A3"/>
    <w:multiLevelType w:val="hybridMultilevel"/>
    <w:tmpl w:val="B23C4D8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3F3F92"/>
    <w:multiLevelType w:val="hybridMultilevel"/>
    <w:tmpl w:val="FE98C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212CAE"/>
    <w:multiLevelType w:val="hybridMultilevel"/>
    <w:tmpl w:val="7710293A"/>
    <w:lvl w:ilvl="0" w:tplc="9CA8454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94527D"/>
    <w:multiLevelType w:val="hybridMultilevel"/>
    <w:tmpl w:val="A5042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2F2C01"/>
    <w:multiLevelType w:val="hybridMultilevel"/>
    <w:tmpl w:val="D8A00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BE7C59"/>
    <w:multiLevelType w:val="hybridMultilevel"/>
    <w:tmpl w:val="61E4D774"/>
    <w:lvl w:ilvl="0" w:tplc="C7324E7E">
      <w:start w:val="1"/>
      <w:numFmt w:val="bullet"/>
      <w:lvlText w:val=""/>
      <w:lvlJc w:val="left"/>
      <w:pPr>
        <w:ind w:left="720" w:hanging="360"/>
      </w:pPr>
      <w:rPr>
        <w:rFonts w:ascii="Symbol" w:hAnsi="Symbol" w:hint="default"/>
      </w:rPr>
    </w:lvl>
    <w:lvl w:ilvl="1" w:tplc="9E6897BA">
      <w:start w:val="1"/>
      <w:numFmt w:val="bullet"/>
      <w:lvlText w:val="o"/>
      <w:lvlJc w:val="left"/>
      <w:pPr>
        <w:ind w:left="1440" w:hanging="360"/>
      </w:pPr>
      <w:rPr>
        <w:rFonts w:ascii="Courier New" w:hAnsi="Courier New" w:cs="Courier New" w:hint="default"/>
      </w:rPr>
    </w:lvl>
    <w:lvl w:ilvl="2" w:tplc="2586CCF6" w:tentative="1">
      <w:start w:val="1"/>
      <w:numFmt w:val="bullet"/>
      <w:lvlText w:val=""/>
      <w:lvlJc w:val="left"/>
      <w:pPr>
        <w:ind w:left="2160" w:hanging="360"/>
      </w:pPr>
      <w:rPr>
        <w:rFonts w:ascii="Wingdings" w:hAnsi="Wingdings" w:hint="default"/>
      </w:rPr>
    </w:lvl>
    <w:lvl w:ilvl="3" w:tplc="720E1B18" w:tentative="1">
      <w:start w:val="1"/>
      <w:numFmt w:val="bullet"/>
      <w:lvlText w:val=""/>
      <w:lvlJc w:val="left"/>
      <w:pPr>
        <w:ind w:left="2880" w:hanging="360"/>
      </w:pPr>
      <w:rPr>
        <w:rFonts w:ascii="Symbol" w:hAnsi="Symbol" w:hint="default"/>
      </w:rPr>
    </w:lvl>
    <w:lvl w:ilvl="4" w:tplc="C45A2F80" w:tentative="1">
      <w:start w:val="1"/>
      <w:numFmt w:val="bullet"/>
      <w:lvlText w:val="o"/>
      <w:lvlJc w:val="left"/>
      <w:pPr>
        <w:ind w:left="3600" w:hanging="360"/>
      </w:pPr>
      <w:rPr>
        <w:rFonts w:ascii="Courier New" w:hAnsi="Courier New" w:cs="Courier New" w:hint="default"/>
      </w:rPr>
    </w:lvl>
    <w:lvl w:ilvl="5" w:tplc="BA3882E2" w:tentative="1">
      <w:start w:val="1"/>
      <w:numFmt w:val="bullet"/>
      <w:lvlText w:val=""/>
      <w:lvlJc w:val="left"/>
      <w:pPr>
        <w:ind w:left="4320" w:hanging="360"/>
      </w:pPr>
      <w:rPr>
        <w:rFonts w:ascii="Wingdings" w:hAnsi="Wingdings" w:hint="default"/>
      </w:rPr>
    </w:lvl>
    <w:lvl w:ilvl="6" w:tplc="B64023BE" w:tentative="1">
      <w:start w:val="1"/>
      <w:numFmt w:val="bullet"/>
      <w:lvlText w:val=""/>
      <w:lvlJc w:val="left"/>
      <w:pPr>
        <w:ind w:left="5040" w:hanging="360"/>
      </w:pPr>
      <w:rPr>
        <w:rFonts w:ascii="Symbol" w:hAnsi="Symbol" w:hint="default"/>
      </w:rPr>
    </w:lvl>
    <w:lvl w:ilvl="7" w:tplc="8F7290EA" w:tentative="1">
      <w:start w:val="1"/>
      <w:numFmt w:val="bullet"/>
      <w:lvlText w:val="o"/>
      <w:lvlJc w:val="left"/>
      <w:pPr>
        <w:ind w:left="5760" w:hanging="360"/>
      </w:pPr>
      <w:rPr>
        <w:rFonts w:ascii="Courier New" w:hAnsi="Courier New" w:cs="Courier New" w:hint="default"/>
      </w:rPr>
    </w:lvl>
    <w:lvl w:ilvl="8" w:tplc="CE566FAC" w:tentative="1">
      <w:start w:val="1"/>
      <w:numFmt w:val="bullet"/>
      <w:lvlText w:val=""/>
      <w:lvlJc w:val="left"/>
      <w:pPr>
        <w:ind w:left="6480" w:hanging="360"/>
      </w:pPr>
      <w:rPr>
        <w:rFonts w:ascii="Wingdings" w:hAnsi="Wingdings" w:hint="default"/>
      </w:rPr>
    </w:lvl>
  </w:abstractNum>
  <w:abstractNum w:abstractNumId="39" w15:restartNumberingAfterBreak="0">
    <w:nsid w:val="7C3B256E"/>
    <w:multiLevelType w:val="hybridMultilevel"/>
    <w:tmpl w:val="D33ADAAC"/>
    <w:lvl w:ilvl="0" w:tplc="48B6CCF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2"/>
  </w:num>
  <w:num w:numId="4">
    <w:abstractNumId w:val="12"/>
  </w:num>
  <w:num w:numId="5">
    <w:abstractNumId w:val="13"/>
  </w:num>
  <w:num w:numId="6">
    <w:abstractNumId w:val="15"/>
  </w:num>
  <w:num w:numId="7">
    <w:abstractNumId w:val="30"/>
  </w:num>
  <w:num w:numId="8">
    <w:abstractNumId w:val="31"/>
  </w:num>
  <w:num w:numId="9">
    <w:abstractNumId w:val="5"/>
  </w:num>
  <w:num w:numId="10">
    <w:abstractNumId w:val="6"/>
  </w:num>
  <w:num w:numId="11">
    <w:abstractNumId w:val="24"/>
  </w:num>
  <w:num w:numId="12">
    <w:abstractNumId w:val="27"/>
  </w:num>
  <w:num w:numId="13">
    <w:abstractNumId w:val="3"/>
  </w:num>
  <w:num w:numId="14">
    <w:abstractNumId w:val="38"/>
  </w:num>
  <w:num w:numId="15">
    <w:abstractNumId w:val="8"/>
  </w:num>
  <w:num w:numId="16">
    <w:abstractNumId w:val="7"/>
  </w:num>
  <w:num w:numId="17">
    <w:abstractNumId w:val="34"/>
  </w:num>
  <w:num w:numId="18">
    <w:abstractNumId w:val="25"/>
  </w:num>
  <w:num w:numId="19">
    <w:abstractNumId w:val="2"/>
  </w:num>
  <w:num w:numId="20">
    <w:abstractNumId w:val="4"/>
  </w:num>
  <w:num w:numId="21">
    <w:abstractNumId w:val="1"/>
  </w:num>
  <w:num w:numId="22">
    <w:abstractNumId w:val="33"/>
  </w:num>
  <w:num w:numId="23">
    <w:abstractNumId w:val="17"/>
  </w:num>
  <w:num w:numId="24">
    <w:abstractNumId w:val="32"/>
  </w:num>
  <w:num w:numId="25">
    <w:abstractNumId w:val="9"/>
  </w:num>
  <w:num w:numId="26">
    <w:abstractNumId w:val="37"/>
  </w:num>
  <w:num w:numId="27">
    <w:abstractNumId w:val="20"/>
  </w:num>
  <w:num w:numId="28">
    <w:abstractNumId w:val="11"/>
  </w:num>
  <w:num w:numId="29">
    <w:abstractNumId w:val="23"/>
  </w:num>
  <w:num w:numId="30">
    <w:abstractNumId w:val="28"/>
  </w:num>
  <w:num w:numId="31">
    <w:abstractNumId w:val="36"/>
  </w:num>
  <w:num w:numId="32">
    <w:abstractNumId w:val="19"/>
  </w:num>
  <w:num w:numId="33">
    <w:abstractNumId w:val="30"/>
  </w:num>
  <w:num w:numId="34">
    <w:abstractNumId w:val="39"/>
  </w:num>
  <w:num w:numId="35">
    <w:abstractNumId w:val="14"/>
  </w:num>
  <w:num w:numId="36">
    <w:abstractNumId w:val="29"/>
  </w:num>
  <w:num w:numId="37">
    <w:abstractNumId w:val="21"/>
  </w:num>
  <w:num w:numId="38">
    <w:abstractNumId w:val="16"/>
  </w:num>
  <w:num w:numId="39">
    <w:abstractNumId w:val="35"/>
  </w:num>
  <w:num w:numId="40">
    <w:abstractNumId w:val="26"/>
  </w:num>
  <w:num w:numId="4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0D"/>
    <w:rsid w:val="00003F99"/>
    <w:rsid w:val="00011CD9"/>
    <w:rsid w:val="00021531"/>
    <w:rsid w:val="000309ED"/>
    <w:rsid w:val="000338F8"/>
    <w:rsid w:val="00040E5E"/>
    <w:rsid w:val="00044B52"/>
    <w:rsid w:val="0006174B"/>
    <w:rsid w:val="00082448"/>
    <w:rsid w:val="000942F1"/>
    <w:rsid w:val="000A118C"/>
    <w:rsid w:val="000A1504"/>
    <w:rsid w:val="000D0935"/>
    <w:rsid w:val="000E7015"/>
    <w:rsid w:val="000F1DB4"/>
    <w:rsid w:val="0011729C"/>
    <w:rsid w:val="001415EE"/>
    <w:rsid w:val="001427CF"/>
    <w:rsid w:val="00147F67"/>
    <w:rsid w:val="00150A5D"/>
    <w:rsid w:val="00157382"/>
    <w:rsid w:val="001630E1"/>
    <w:rsid w:val="00166AA5"/>
    <w:rsid w:val="00176A00"/>
    <w:rsid w:val="00180469"/>
    <w:rsid w:val="0018244E"/>
    <w:rsid w:val="001847E2"/>
    <w:rsid w:val="001928F4"/>
    <w:rsid w:val="001A7D0C"/>
    <w:rsid w:val="001B5AE5"/>
    <w:rsid w:val="001B6C00"/>
    <w:rsid w:val="001B7D12"/>
    <w:rsid w:val="001C5584"/>
    <w:rsid w:val="001C63C4"/>
    <w:rsid w:val="001C7569"/>
    <w:rsid w:val="001D0D76"/>
    <w:rsid w:val="001D3E10"/>
    <w:rsid w:val="001D50A4"/>
    <w:rsid w:val="001E2E1D"/>
    <w:rsid w:val="001F2A92"/>
    <w:rsid w:val="00202713"/>
    <w:rsid w:val="00204101"/>
    <w:rsid w:val="00204148"/>
    <w:rsid w:val="002064BA"/>
    <w:rsid w:val="00214289"/>
    <w:rsid w:val="00216B9B"/>
    <w:rsid w:val="00216F63"/>
    <w:rsid w:val="0022171D"/>
    <w:rsid w:val="00222478"/>
    <w:rsid w:val="002229D8"/>
    <w:rsid w:val="00223DD9"/>
    <w:rsid w:val="00235CF6"/>
    <w:rsid w:val="00237D97"/>
    <w:rsid w:val="00240219"/>
    <w:rsid w:val="0024030E"/>
    <w:rsid w:val="00251876"/>
    <w:rsid w:val="00252870"/>
    <w:rsid w:val="00253995"/>
    <w:rsid w:val="00261934"/>
    <w:rsid w:val="00264E93"/>
    <w:rsid w:val="00265382"/>
    <w:rsid w:val="002814E0"/>
    <w:rsid w:val="0028718B"/>
    <w:rsid w:val="00287E11"/>
    <w:rsid w:val="00291AB0"/>
    <w:rsid w:val="0029651B"/>
    <w:rsid w:val="002A3F64"/>
    <w:rsid w:val="002A6283"/>
    <w:rsid w:val="002A629B"/>
    <w:rsid w:val="002B30CA"/>
    <w:rsid w:val="002B660F"/>
    <w:rsid w:val="002C173B"/>
    <w:rsid w:val="002D13DB"/>
    <w:rsid w:val="0030597E"/>
    <w:rsid w:val="003128F5"/>
    <w:rsid w:val="00344F27"/>
    <w:rsid w:val="003578B2"/>
    <w:rsid w:val="00360254"/>
    <w:rsid w:val="0036127B"/>
    <w:rsid w:val="0036155F"/>
    <w:rsid w:val="003854B0"/>
    <w:rsid w:val="003923E2"/>
    <w:rsid w:val="003A3D0E"/>
    <w:rsid w:val="003A6317"/>
    <w:rsid w:val="003C392F"/>
    <w:rsid w:val="003D2C14"/>
    <w:rsid w:val="003D5E2A"/>
    <w:rsid w:val="003D7E37"/>
    <w:rsid w:val="003E1D00"/>
    <w:rsid w:val="003E5566"/>
    <w:rsid w:val="003E72FA"/>
    <w:rsid w:val="003F132C"/>
    <w:rsid w:val="003F160E"/>
    <w:rsid w:val="003F770A"/>
    <w:rsid w:val="00400C1E"/>
    <w:rsid w:val="00404ACA"/>
    <w:rsid w:val="00412B45"/>
    <w:rsid w:val="00412E85"/>
    <w:rsid w:val="00414541"/>
    <w:rsid w:val="00414E57"/>
    <w:rsid w:val="004217C2"/>
    <w:rsid w:val="00460760"/>
    <w:rsid w:val="00462D22"/>
    <w:rsid w:val="004671A5"/>
    <w:rsid w:val="00472F34"/>
    <w:rsid w:val="00476178"/>
    <w:rsid w:val="004764CD"/>
    <w:rsid w:val="0048090F"/>
    <w:rsid w:val="00481AD0"/>
    <w:rsid w:val="004834BC"/>
    <w:rsid w:val="0049164D"/>
    <w:rsid w:val="0049365B"/>
    <w:rsid w:val="004A25EA"/>
    <w:rsid w:val="004A3482"/>
    <w:rsid w:val="004A5157"/>
    <w:rsid w:val="004A5F81"/>
    <w:rsid w:val="004A734A"/>
    <w:rsid w:val="004B0C57"/>
    <w:rsid w:val="004B1CF0"/>
    <w:rsid w:val="004C0379"/>
    <w:rsid w:val="004C106D"/>
    <w:rsid w:val="004C51AF"/>
    <w:rsid w:val="004C6D20"/>
    <w:rsid w:val="004F3DF8"/>
    <w:rsid w:val="00504B04"/>
    <w:rsid w:val="00505A56"/>
    <w:rsid w:val="00517A7E"/>
    <w:rsid w:val="005255C5"/>
    <w:rsid w:val="005266C2"/>
    <w:rsid w:val="00527E5C"/>
    <w:rsid w:val="00534B78"/>
    <w:rsid w:val="005369B9"/>
    <w:rsid w:val="005369EC"/>
    <w:rsid w:val="00536A69"/>
    <w:rsid w:val="005437FB"/>
    <w:rsid w:val="00547614"/>
    <w:rsid w:val="00550EC8"/>
    <w:rsid w:val="00556FC5"/>
    <w:rsid w:val="005635F9"/>
    <w:rsid w:val="0057139C"/>
    <w:rsid w:val="00572D58"/>
    <w:rsid w:val="00574F4A"/>
    <w:rsid w:val="00576F71"/>
    <w:rsid w:val="00583AB0"/>
    <w:rsid w:val="00586892"/>
    <w:rsid w:val="00591298"/>
    <w:rsid w:val="005A0AB5"/>
    <w:rsid w:val="005B082D"/>
    <w:rsid w:val="005B1F83"/>
    <w:rsid w:val="005D2CB5"/>
    <w:rsid w:val="005D3C56"/>
    <w:rsid w:val="005D3F2B"/>
    <w:rsid w:val="005D58BA"/>
    <w:rsid w:val="005F6E20"/>
    <w:rsid w:val="00603AE8"/>
    <w:rsid w:val="006043E6"/>
    <w:rsid w:val="006129D7"/>
    <w:rsid w:val="00614BB5"/>
    <w:rsid w:val="00622C32"/>
    <w:rsid w:val="00623C1C"/>
    <w:rsid w:val="006339AA"/>
    <w:rsid w:val="006360D2"/>
    <w:rsid w:val="00636A92"/>
    <w:rsid w:val="006418A0"/>
    <w:rsid w:val="006443C4"/>
    <w:rsid w:val="006540ED"/>
    <w:rsid w:val="00671F60"/>
    <w:rsid w:val="006737E0"/>
    <w:rsid w:val="00675011"/>
    <w:rsid w:val="00675B7E"/>
    <w:rsid w:val="00677ABF"/>
    <w:rsid w:val="006857A2"/>
    <w:rsid w:val="006863CF"/>
    <w:rsid w:val="006A4226"/>
    <w:rsid w:val="006A45FA"/>
    <w:rsid w:val="006B23EC"/>
    <w:rsid w:val="006B4659"/>
    <w:rsid w:val="006B4A0D"/>
    <w:rsid w:val="006C4159"/>
    <w:rsid w:val="006E294E"/>
    <w:rsid w:val="006E341D"/>
    <w:rsid w:val="006E467C"/>
    <w:rsid w:val="006E6C29"/>
    <w:rsid w:val="006F16E4"/>
    <w:rsid w:val="006F558F"/>
    <w:rsid w:val="006F606B"/>
    <w:rsid w:val="00701335"/>
    <w:rsid w:val="0070660F"/>
    <w:rsid w:val="007115C8"/>
    <w:rsid w:val="00717F9A"/>
    <w:rsid w:val="00717FD4"/>
    <w:rsid w:val="007223CE"/>
    <w:rsid w:val="0072495C"/>
    <w:rsid w:val="00732015"/>
    <w:rsid w:val="00735931"/>
    <w:rsid w:val="007418B2"/>
    <w:rsid w:val="00744BEB"/>
    <w:rsid w:val="00746325"/>
    <w:rsid w:val="00747A09"/>
    <w:rsid w:val="007534BA"/>
    <w:rsid w:val="0077108C"/>
    <w:rsid w:val="007726D9"/>
    <w:rsid w:val="00774D33"/>
    <w:rsid w:val="007774F4"/>
    <w:rsid w:val="00787C33"/>
    <w:rsid w:val="00793FCD"/>
    <w:rsid w:val="00794592"/>
    <w:rsid w:val="00796F6E"/>
    <w:rsid w:val="007B52A6"/>
    <w:rsid w:val="007B5A32"/>
    <w:rsid w:val="007C46E0"/>
    <w:rsid w:val="007C70FE"/>
    <w:rsid w:val="007E1EE0"/>
    <w:rsid w:val="007F14F5"/>
    <w:rsid w:val="007F3651"/>
    <w:rsid w:val="007F3870"/>
    <w:rsid w:val="007F57E4"/>
    <w:rsid w:val="007F5B14"/>
    <w:rsid w:val="00805025"/>
    <w:rsid w:val="00810007"/>
    <w:rsid w:val="008317FD"/>
    <w:rsid w:val="00831A69"/>
    <w:rsid w:val="00841110"/>
    <w:rsid w:val="008466DF"/>
    <w:rsid w:val="00854D20"/>
    <w:rsid w:val="008558D3"/>
    <w:rsid w:val="0085709D"/>
    <w:rsid w:val="008621C0"/>
    <w:rsid w:val="00871A15"/>
    <w:rsid w:val="00877A7B"/>
    <w:rsid w:val="00880D24"/>
    <w:rsid w:val="00884CFA"/>
    <w:rsid w:val="00895A83"/>
    <w:rsid w:val="008A348A"/>
    <w:rsid w:val="008A7261"/>
    <w:rsid w:val="008B06A8"/>
    <w:rsid w:val="008C5DDA"/>
    <w:rsid w:val="008D2E54"/>
    <w:rsid w:val="008E2D8B"/>
    <w:rsid w:val="008E344B"/>
    <w:rsid w:val="008F6E9D"/>
    <w:rsid w:val="00901791"/>
    <w:rsid w:val="00914EEE"/>
    <w:rsid w:val="009535FB"/>
    <w:rsid w:val="0096087E"/>
    <w:rsid w:val="009621AF"/>
    <w:rsid w:val="009774E7"/>
    <w:rsid w:val="00984989"/>
    <w:rsid w:val="00984B2A"/>
    <w:rsid w:val="0098557F"/>
    <w:rsid w:val="009919AE"/>
    <w:rsid w:val="00995D53"/>
    <w:rsid w:val="009963B2"/>
    <w:rsid w:val="009978A3"/>
    <w:rsid w:val="009A4079"/>
    <w:rsid w:val="009A4857"/>
    <w:rsid w:val="009A4B40"/>
    <w:rsid w:val="009A54F3"/>
    <w:rsid w:val="009C39BA"/>
    <w:rsid w:val="009C4DA5"/>
    <w:rsid w:val="009D1F92"/>
    <w:rsid w:val="009D3741"/>
    <w:rsid w:val="009D42CD"/>
    <w:rsid w:val="009D552F"/>
    <w:rsid w:val="009E2177"/>
    <w:rsid w:val="009E4C96"/>
    <w:rsid w:val="009F0EC8"/>
    <w:rsid w:val="009F372E"/>
    <w:rsid w:val="009F455D"/>
    <w:rsid w:val="009F5FAF"/>
    <w:rsid w:val="00A03274"/>
    <w:rsid w:val="00A117E2"/>
    <w:rsid w:val="00A13826"/>
    <w:rsid w:val="00A14925"/>
    <w:rsid w:val="00A15E66"/>
    <w:rsid w:val="00A235E7"/>
    <w:rsid w:val="00A24B15"/>
    <w:rsid w:val="00A251FC"/>
    <w:rsid w:val="00A2799F"/>
    <w:rsid w:val="00A41741"/>
    <w:rsid w:val="00A526F5"/>
    <w:rsid w:val="00A7330E"/>
    <w:rsid w:val="00A77BAE"/>
    <w:rsid w:val="00A834EA"/>
    <w:rsid w:val="00A914BF"/>
    <w:rsid w:val="00A91CB9"/>
    <w:rsid w:val="00A92761"/>
    <w:rsid w:val="00AB3457"/>
    <w:rsid w:val="00AC2FD3"/>
    <w:rsid w:val="00AC60B5"/>
    <w:rsid w:val="00AC6E10"/>
    <w:rsid w:val="00AE30B7"/>
    <w:rsid w:val="00AE5019"/>
    <w:rsid w:val="00AE6D96"/>
    <w:rsid w:val="00AE7C82"/>
    <w:rsid w:val="00AF5C85"/>
    <w:rsid w:val="00B03D30"/>
    <w:rsid w:val="00B10D67"/>
    <w:rsid w:val="00B15F5E"/>
    <w:rsid w:val="00B22A7C"/>
    <w:rsid w:val="00B24F24"/>
    <w:rsid w:val="00B2737A"/>
    <w:rsid w:val="00B41537"/>
    <w:rsid w:val="00B46C41"/>
    <w:rsid w:val="00B52F79"/>
    <w:rsid w:val="00B5384F"/>
    <w:rsid w:val="00B54FA4"/>
    <w:rsid w:val="00B57F74"/>
    <w:rsid w:val="00B63A26"/>
    <w:rsid w:val="00B63C9F"/>
    <w:rsid w:val="00B67440"/>
    <w:rsid w:val="00B8344B"/>
    <w:rsid w:val="00B86CAB"/>
    <w:rsid w:val="00B91CCC"/>
    <w:rsid w:val="00B9604C"/>
    <w:rsid w:val="00B97ADA"/>
    <w:rsid w:val="00BA13F7"/>
    <w:rsid w:val="00BA36E7"/>
    <w:rsid w:val="00BB19BE"/>
    <w:rsid w:val="00BB5286"/>
    <w:rsid w:val="00BB53B5"/>
    <w:rsid w:val="00BB560D"/>
    <w:rsid w:val="00BC465F"/>
    <w:rsid w:val="00BC78B4"/>
    <w:rsid w:val="00BD4D5C"/>
    <w:rsid w:val="00BE1B71"/>
    <w:rsid w:val="00BE230F"/>
    <w:rsid w:val="00BF154E"/>
    <w:rsid w:val="00BF3858"/>
    <w:rsid w:val="00C02AAA"/>
    <w:rsid w:val="00C0751E"/>
    <w:rsid w:val="00C259C5"/>
    <w:rsid w:val="00C323BF"/>
    <w:rsid w:val="00C34A63"/>
    <w:rsid w:val="00C42BDE"/>
    <w:rsid w:val="00C461FD"/>
    <w:rsid w:val="00C55C29"/>
    <w:rsid w:val="00C57889"/>
    <w:rsid w:val="00C615C6"/>
    <w:rsid w:val="00C62E71"/>
    <w:rsid w:val="00C62FE4"/>
    <w:rsid w:val="00C75DC8"/>
    <w:rsid w:val="00C75EAD"/>
    <w:rsid w:val="00C77C3D"/>
    <w:rsid w:val="00C813D9"/>
    <w:rsid w:val="00C8331A"/>
    <w:rsid w:val="00C86EC1"/>
    <w:rsid w:val="00C87751"/>
    <w:rsid w:val="00C90D24"/>
    <w:rsid w:val="00C92215"/>
    <w:rsid w:val="00CA2BF7"/>
    <w:rsid w:val="00CA6ACB"/>
    <w:rsid w:val="00CB0C23"/>
    <w:rsid w:val="00CB268F"/>
    <w:rsid w:val="00CC2463"/>
    <w:rsid w:val="00CC55F9"/>
    <w:rsid w:val="00CC6322"/>
    <w:rsid w:val="00CE125A"/>
    <w:rsid w:val="00CE24F3"/>
    <w:rsid w:val="00CF6302"/>
    <w:rsid w:val="00CF7629"/>
    <w:rsid w:val="00D04A89"/>
    <w:rsid w:val="00D13347"/>
    <w:rsid w:val="00D13892"/>
    <w:rsid w:val="00D14256"/>
    <w:rsid w:val="00D1438F"/>
    <w:rsid w:val="00D307FF"/>
    <w:rsid w:val="00D312D7"/>
    <w:rsid w:val="00D31475"/>
    <w:rsid w:val="00D363AC"/>
    <w:rsid w:val="00D40687"/>
    <w:rsid w:val="00D4440E"/>
    <w:rsid w:val="00D50357"/>
    <w:rsid w:val="00D554AF"/>
    <w:rsid w:val="00D57AC3"/>
    <w:rsid w:val="00D60028"/>
    <w:rsid w:val="00D63EA7"/>
    <w:rsid w:val="00D67024"/>
    <w:rsid w:val="00D751F9"/>
    <w:rsid w:val="00D76887"/>
    <w:rsid w:val="00D77FA2"/>
    <w:rsid w:val="00D86A71"/>
    <w:rsid w:val="00D91FBC"/>
    <w:rsid w:val="00D9445D"/>
    <w:rsid w:val="00DA1426"/>
    <w:rsid w:val="00DB30F2"/>
    <w:rsid w:val="00DB3170"/>
    <w:rsid w:val="00DC5B40"/>
    <w:rsid w:val="00DC7850"/>
    <w:rsid w:val="00DC791F"/>
    <w:rsid w:val="00DD0C5D"/>
    <w:rsid w:val="00DE19D5"/>
    <w:rsid w:val="00DF3B9F"/>
    <w:rsid w:val="00E018FD"/>
    <w:rsid w:val="00E24A71"/>
    <w:rsid w:val="00E2708C"/>
    <w:rsid w:val="00E279A8"/>
    <w:rsid w:val="00E27C0C"/>
    <w:rsid w:val="00E30CCC"/>
    <w:rsid w:val="00E30FDC"/>
    <w:rsid w:val="00E33EC4"/>
    <w:rsid w:val="00E4058B"/>
    <w:rsid w:val="00E511D7"/>
    <w:rsid w:val="00E51B05"/>
    <w:rsid w:val="00E6556B"/>
    <w:rsid w:val="00E66C90"/>
    <w:rsid w:val="00E74008"/>
    <w:rsid w:val="00E7600E"/>
    <w:rsid w:val="00E82D11"/>
    <w:rsid w:val="00EA3D69"/>
    <w:rsid w:val="00EA77DD"/>
    <w:rsid w:val="00ED30C4"/>
    <w:rsid w:val="00EE188E"/>
    <w:rsid w:val="00EE601B"/>
    <w:rsid w:val="00EF0649"/>
    <w:rsid w:val="00EF47F1"/>
    <w:rsid w:val="00EF531A"/>
    <w:rsid w:val="00F027D1"/>
    <w:rsid w:val="00F05273"/>
    <w:rsid w:val="00F0787D"/>
    <w:rsid w:val="00F15762"/>
    <w:rsid w:val="00F20E31"/>
    <w:rsid w:val="00F31727"/>
    <w:rsid w:val="00F32F36"/>
    <w:rsid w:val="00F44CA4"/>
    <w:rsid w:val="00F45226"/>
    <w:rsid w:val="00F45567"/>
    <w:rsid w:val="00F47525"/>
    <w:rsid w:val="00F56BD6"/>
    <w:rsid w:val="00F81A68"/>
    <w:rsid w:val="00F81D5E"/>
    <w:rsid w:val="00F83796"/>
    <w:rsid w:val="00F87A57"/>
    <w:rsid w:val="00F92DA8"/>
    <w:rsid w:val="00FA4175"/>
    <w:rsid w:val="00FB0023"/>
    <w:rsid w:val="00FC391B"/>
    <w:rsid w:val="00FC3939"/>
    <w:rsid w:val="00FC400D"/>
    <w:rsid w:val="00FE3296"/>
    <w:rsid w:val="00FE609B"/>
    <w:rsid w:val="00FE6412"/>
    <w:rsid w:val="00FF6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89C42C"/>
  <w15:docId w15:val="{8E3C1B6D-E309-44DE-B51E-5A26EA3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174B"/>
    <w:pPr>
      <w:spacing w:before="120" w:after="120" w:line="288" w:lineRule="auto"/>
      <w:contextualSpacing/>
      <w:jc w:val="both"/>
    </w:pPr>
    <w:rPr>
      <w:rFonts w:ascii="Arial" w:hAnsi="Arial"/>
    </w:rPr>
  </w:style>
  <w:style w:type="paragraph" w:styleId="Naslov1">
    <w:name w:val="heading 1"/>
    <w:basedOn w:val="Navaden"/>
    <w:next w:val="Navaden"/>
    <w:link w:val="Naslov1Znak"/>
    <w:uiPriority w:val="9"/>
    <w:qFormat/>
    <w:rsid w:val="00675011"/>
    <w:pPr>
      <w:keepNext/>
      <w:keepLines/>
      <w:numPr>
        <w:numId w:val="4"/>
      </w:numPr>
      <w:spacing w:before="360"/>
      <w:ind w:left="567" w:hanging="567"/>
      <w:outlineLvl w:val="0"/>
    </w:pPr>
    <w:rPr>
      <w:rFonts w:eastAsiaTheme="majorEastAsia" w:cstheme="majorBidi"/>
      <w:b/>
      <w:bCs/>
      <w:szCs w:val="28"/>
    </w:rPr>
  </w:style>
  <w:style w:type="paragraph" w:styleId="Naslov2">
    <w:name w:val="heading 2"/>
    <w:basedOn w:val="Naslov1"/>
    <w:next w:val="Navaden"/>
    <w:link w:val="Naslov2Znak"/>
    <w:uiPriority w:val="9"/>
    <w:unhideWhenUsed/>
    <w:qFormat/>
    <w:rsid w:val="002B30CA"/>
    <w:pPr>
      <w:numPr>
        <w:ilvl w:val="1"/>
      </w:numPr>
      <w:ind w:left="567" w:hanging="578"/>
      <w:outlineLvl w:val="1"/>
    </w:pPr>
    <w:rPr>
      <w:sz w:val="20"/>
    </w:rPr>
  </w:style>
  <w:style w:type="paragraph" w:styleId="Naslov3">
    <w:name w:val="heading 3"/>
    <w:basedOn w:val="Navaden"/>
    <w:next w:val="Navaden"/>
    <w:link w:val="Naslov3Znak"/>
    <w:uiPriority w:val="9"/>
    <w:unhideWhenUsed/>
    <w:qFormat/>
    <w:rsid w:val="006750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0617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C400D"/>
    <w:rPr>
      <w:b/>
      <w:bCs/>
    </w:rPr>
  </w:style>
  <w:style w:type="paragraph" w:styleId="Odstavekseznama">
    <w:name w:val="List Paragraph"/>
    <w:basedOn w:val="Navaden"/>
    <w:link w:val="OdstavekseznamaZnak"/>
    <w:uiPriority w:val="34"/>
    <w:qFormat/>
    <w:rsid w:val="00FC400D"/>
    <w:pPr>
      <w:ind w:left="720"/>
    </w:pPr>
  </w:style>
  <w:style w:type="character" w:styleId="Hiperpovezava">
    <w:name w:val="Hyperlink"/>
    <w:basedOn w:val="Privzetapisavaodstavka"/>
    <w:uiPriority w:val="99"/>
    <w:unhideWhenUsed/>
    <w:rsid w:val="00FC400D"/>
    <w:rPr>
      <w:color w:val="0000FF" w:themeColor="hyperlink"/>
      <w:u w:val="single"/>
    </w:rPr>
  </w:style>
  <w:style w:type="table" w:styleId="Tabelamrea">
    <w:name w:val="Table Grid"/>
    <w:basedOn w:val="Navadnatabela"/>
    <w:uiPriority w:val="59"/>
    <w:rsid w:val="00FC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Slika"/>
    <w:qFormat/>
    <w:rsid w:val="004A734A"/>
    <w:pPr>
      <w:keepNext/>
      <w:keepLines/>
    </w:pPr>
  </w:style>
  <w:style w:type="paragraph" w:customStyle="1" w:styleId="Tekstvtabelirazennaslovnih">
    <w:name w:val="Tekst v tabeli razen naslovnih"/>
    <w:basedOn w:val="Navaden"/>
    <w:next w:val="Navaden"/>
    <w:link w:val="TekstvtabelirazennaslovnihZnak"/>
    <w:qFormat/>
    <w:rsid w:val="00FC400D"/>
    <w:pPr>
      <w:spacing w:after="60"/>
    </w:pPr>
    <w:rPr>
      <w:rFonts w:cs="Arial"/>
    </w:rPr>
  </w:style>
  <w:style w:type="paragraph" w:customStyle="1" w:styleId="Naslovnavrsticatabele">
    <w:name w:val="Naslovna vrstica tabele"/>
    <w:basedOn w:val="Navaden"/>
    <w:next w:val="Navaden"/>
    <w:link w:val="NaslovnavrsticatabeleZnak"/>
    <w:qFormat/>
    <w:rsid w:val="00FC400D"/>
    <w:rPr>
      <w:rFonts w:cs="Arial"/>
      <w:b/>
    </w:rPr>
  </w:style>
  <w:style w:type="character" w:customStyle="1" w:styleId="TekstvtabelirazennaslovnihZnak">
    <w:name w:val="Tekst v tabeli razen naslovnih Znak"/>
    <w:basedOn w:val="Privzetapisavaodstavka"/>
    <w:link w:val="Tekstvtabelirazennaslovnih"/>
    <w:rsid w:val="00FC400D"/>
    <w:rPr>
      <w:rFonts w:ascii="Arial" w:hAnsi="Arial" w:cs="Arial"/>
    </w:rPr>
  </w:style>
  <w:style w:type="character" w:customStyle="1" w:styleId="NaslovnavrsticatabeleZnak">
    <w:name w:val="Naslovna vrstica tabele Znak"/>
    <w:basedOn w:val="Privzetapisavaodstavka"/>
    <w:link w:val="Naslovnavrsticatabele"/>
    <w:rsid w:val="00FC400D"/>
    <w:rPr>
      <w:rFonts w:ascii="Arial" w:hAnsi="Arial" w:cs="Arial"/>
      <w:b/>
    </w:rPr>
  </w:style>
  <w:style w:type="character" w:customStyle="1" w:styleId="Naslov1Znak">
    <w:name w:val="Naslov 1 Znak"/>
    <w:basedOn w:val="Privzetapisavaodstavka"/>
    <w:link w:val="Naslov1"/>
    <w:uiPriority w:val="9"/>
    <w:rsid w:val="00675011"/>
    <w:rPr>
      <w:rFonts w:ascii="Arial" w:eastAsiaTheme="majorEastAsia" w:hAnsi="Arial" w:cstheme="majorBidi"/>
      <w:b/>
      <w:bCs/>
      <w:szCs w:val="28"/>
    </w:rPr>
  </w:style>
  <w:style w:type="character" w:styleId="Pripombasklic">
    <w:name w:val="annotation reference"/>
    <w:basedOn w:val="Privzetapisavaodstavka"/>
    <w:uiPriority w:val="99"/>
    <w:semiHidden/>
    <w:unhideWhenUsed/>
    <w:rsid w:val="00984B2A"/>
    <w:rPr>
      <w:sz w:val="16"/>
      <w:szCs w:val="16"/>
    </w:rPr>
  </w:style>
  <w:style w:type="paragraph" w:styleId="Pripombabesedilo">
    <w:name w:val="annotation text"/>
    <w:basedOn w:val="Navaden"/>
    <w:link w:val="PripombabesediloZnak"/>
    <w:uiPriority w:val="99"/>
    <w:semiHidden/>
    <w:unhideWhenUsed/>
    <w:rsid w:val="00984B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4B2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84B2A"/>
    <w:rPr>
      <w:b/>
      <w:bCs/>
    </w:rPr>
  </w:style>
  <w:style w:type="character" w:customStyle="1" w:styleId="ZadevapripombeZnak">
    <w:name w:val="Zadeva pripombe Znak"/>
    <w:basedOn w:val="PripombabesediloZnak"/>
    <w:link w:val="Zadevapripombe"/>
    <w:uiPriority w:val="99"/>
    <w:semiHidden/>
    <w:rsid w:val="00984B2A"/>
    <w:rPr>
      <w:rFonts w:ascii="Arial" w:hAnsi="Arial"/>
      <w:b/>
      <w:bCs/>
      <w:sz w:val="20"/>
      <w:szCs w:val="20"/>
    </w:rPr>
  </w:style>
  <w:style w:type="paragraph" w:styleId="Besedilooblaka">
    <w:name w:val="Balloon Text"/>
    <w:basedOn w:val="Navaden"/>
    <w:link w:val="BesedilooblakaZnak"/>
    <w:uiPriority w:val="99"/>
    <w:semiHidden/>
    <w:unhideWhenUsed/>
    <w:rsid w:val="00984B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B2A"/>
    <w:rPr>
      <w:rFonts w:ascii="Tahoma" w:hAnsi="Tahoma" w:cs="Tahoma"/>
      <w:sz w:val="16"/>
      <w:szCs w:val="16"/>
    </w:rPr>
  </w:style>
  <w:style w:type="paragraph" w:styleId="Glava">
    <w:name w:val="header"/>
    <w:basedOn w:val="Navaden"/>
    <w:link w:val="GlavaZnak"/>
    <w:uiPriority w:val="99"/>
    <w:unhideWhenUsed/>
    <w:rsid w:val="009A4B40"/>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B40"/>
    <w:rPr>
      <w:rFonts w:ascii="Arial" w:hAnsi="Arial"/>
    </w:rPr>
  </w:style>
  <w:style w:type="paragraph" w:styleId="Noga">
    <w:name w:val="footer"/>
    <w:basedOn w:val="Navaden"/>
    <w:link w:val="NogaZnak"/>
    <w:uiPriority w:val="99"/>
    <w:unhideWhenUsed/>
    <w:rsid w:val="009A4B40"/>
    <w:pPr>
      <w:tabs>
        <w:tab w:val="center" w:pos="4536"/>
        <w:tab w:val="right" w:pos="9072"/>
      </w:tabs>
      <w:spacing w:after="0" w:line="240" w:lineRule="auto"/>
    </w:pPr>
  </w:style>
  <w:style w:type="character" w:customStyle="1" w:styleId="NogaZnak">
    <w:name w:val="Noga Znak"/>
    <w:basedOn w:val="Privzetapisavaodstavka"/>
    <w:link w:val="Noga"/>
    <w:uiPriority w:val="99"/>
    <w:rsid w:val="009A4B40"/>
    <w:rPr>
      <w:rFonts w:ascii="Arial" w:hAnsi="Arial"/>
    </w:rPr>
  </w:style>
  <w:style w:type="character" w:customStyle="1" w:styleId="Naslov4Znak">
    <w:name w:val="Naslov 4 Znak"/>
    <w:basedOn w:val="Privzetapisavaodstavka"/>
    <w:link w:val="Naslov4"/>
    <w:uiPriority w:val="9"/>
    <w:semiHidden/>
    <w:rsid w:val="0006174B"/>
    <w:rPr>
      <w:rFonts w:asciiTheme="majorHAnsi" w:eastAsiaTheme="majorEastAsia" w:hAnsiTheme="majorHAnsi" w:cstheme="majorBidi"/>
      <w:i/>
      <w:iCs/>
      <w:color w:val="365F91" w:themeColor="accent1" w:themeShade="BF"/>
    </w:rPr>
  </w:style>
  <w:style w:type="paragraph" w:styleId="Sprotnaopomba-besedilo">
    <w:name w:val="footnote text"/>
    <w:basedOn w:val="Navaden"/>
    <w:link w:val="Sprotnaopomba-besediloZnak"/>
    <w:unhideWhenUsed/>
    <w:rsid w:val="0006174B"/>
    <w:pPr>
      <w:spacing w:before="60" w:after="0" w:line="240" w:lineRule="auto"/>
      <w:contextualSpacing w:val="0"/>
    </w:pPr>
    <w:rPr>
      <w:rFonts w:eastAsia="Calibri" w:cs="Times New Roman"/>
      <w:sz w:val="20"/>
      <w:szCs w:val="20"/>
    </w:rPr>
  </w:style>
  <w:style w:type="character" w:customStyle="1" w:styleId="Sprotnaopomba-besediloZnak">
    <w:name w:val="Sprotna opomba - besedilo Znak"/>
    <w:basedOn w:val="Privzetapisavaodstavka"/>
    <w:link w:val="Sprotnaopomba-besedilo"/>
    <w:rsid w:val="0006174B"/>
    <w:rPr>
      <w:rFonts w:ascii="Arial" w:eastAsia="Calibri" w:hAnsi="Arial" w:cs="Times New Roman"/>
      <w:sz w:val="20"/>
      <w:szCs w:val="20"/>
    </w:rPr>
  </w:style>
  <w:style w:type="character" w:styleId="Sprotnaopomba-sklic">
    <w:name w:val="footnote reference"/>
    <w:uiPriority w:val="99"/>
    <w:semiHidden/>
    <w:unhideWhenUsed/>
    <w:rsid w:val="0006174B"/>
    <w:rPr>
      <w:vertAlign w:val="superscript"/>
    </w:rPr>
  </w:style>
  <w:style w:type="paragraph" w:styleId="Napis">
    <w:name w:val="caption"/>
    <w:aliases w:val="Kazalo Slik"/>
    <w:basedOn w:val="Navaden"/>
    <w:next w:val="Navaden"/>
    <w:uiPriority w:val="35"/>
    <w:unhideWhenUsed/>
    <w:qFormat/>
    <w:rsid w:val="0006174B"/>
    <w:pPr>
      <w:spacing w:before="240" w:line="240" w:lineRule="auto"/>
      <w:contextualSpacing w:val="0"/>
    </w:pPr>
    <w:rPr>
      <w:rFonts w:eastAsia="Calibri" w:cs="Times New Roman"/>
      <w:b/>
      <w:bCs/>
      <w:sz w:val="20"/>
      <w:szCs w:val="18"/>
    </w:rPr>
  </w:style>
  <w:style w:type="paragraph" w:customStyle="1" w:styleId="Slika">
    <w:name w:val="Slika"/>
    <w:basedOn w:val="Kazaloslik"/>
    <w:qFormat/>
    <w:rsid w:val="00675011"/>
    <w:pPr>
      <w:spacing w:after="120" w:line="240" w:lineRule="auto"/>
      <w:contextualSpacing w:val="0"/>
    </w:pPr>
    <w:rPr>
      <w:rFonts w:eastAsia="Calibri" w:cs="Times New Roman"/>
      <w:i/>
      <w:sz w:val="20"/>
    </w:rPr>
  </w:style>
  <w:style w:type="paragraph" w:styleId="Kazaloslik">
    <w:name w:val="table of figures"/>
    <w:basedOn w:val="Navaden"/>
    <w:next w:val="Navaden"/>
    <w:uiPriority w:val="99"/>
    <w:unhideWhenUsed/>
    <w:rsid w:val="0006174B"/>
    <w:pPr>
      <w:spacing w:after="0"/>
    </w:pPr>
  </w:style>
  <w:style w:type="character" w:customStyle="1" w:styleId="Naslov2Znak">
    <w:name w:val="Naslov 2 Znak"/>
    <w:basedOn w:val="Privzetapisavaodstavka"/>
    <w:link w:val="Naslov2"/>
    <w:uiPriority w:val="9"/>
    <w:rsid w:val="002B30CA"/>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rsid w:val="00675011"/>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Privzetapisavaodstavka"/>
    <w:rsid w:val="00BF3858"/>
  </w:style>
  <w:style w:type="paragraph" w:styleId="Golobesedilo">
    <w:name w:val="Plain Text"/>
    <w:aliases w:val="Golo besedilo Znak1, Znak11 Znak,Golo besedilo Znak Znak Znak,Golo besedilo Znak1 Znak Znak Znak,Golo besedilo Znak Znak Znak Znak Znak, Znak11 Znak Znak Znak Znak Znak,Golo besedilo Znak1 Znak,Golo besedilo Znak1 Znak Znak"/>
    <w:basedOn w:val="Navaden"/>
    <w:link w:val="GolobesediloZnak"/>
    <w:rsid w:val="00BB53B5"/>
    <w:pPr>
      <w:spacing w:before="0" w:after="0" w:line="240" w:lineRule="auto"/>
      <w:contextualSpacing w:val="0"/>
    </w:pPr>
    <w:rPr>
      <w:rFonts w:ascii="Courier New" w:eastAsia="Times New Roman" w:hAnsi="Courier New" w:cs="Courier New"/>
      <w:sz w:val="20"/>
      <w:szCs w:val="20"/>
      <w:lang w:eastAsia="sl-SI"/>
    </w:rPr>
  </w:style>
  <w:style w:type="character" w:customStyle="1" w:styleId="GolobesediloZnak">
    <w:name w:val="Golo besedilo Znak"/>
    <w:aliases w:val="Golo besedilo Znak1 Znak1, Znak11 Znak Znak,Golo besedilo Znak Znak Znak Znak,Golo besedilo Znak1 Znak Znak Znak Znak,Golo besedilo Znak Znak Znak Znak Znak Znak, Znak11 Znak Znak Znak Znak Znak Znak,Golo besedilo Znak1 Znak Znak1"/>
    <w:basedOn w:val="Privzetapisavaodstavka"/>
    <w:link w:val="Golobesedilo"/>
    <w:rsid w:val="00BB53B5"/>
    <w:rPr>
      <w:rFonts w:ascii="Courier New" w:eastAsia="Times New Roman" w:hAnsi="Courier New" w:cs="Courier New"/>
      <w:sz w:val="20"/>
      <w:szCs w:val="20"/>
      <w:lang w:eastAsia="sl-SI"/>
    </w:rPr>
  </w:style>
  <w:style w:type="paragraph" w:styleId="Intenzivencitat">
    <w:name w:val="Intense Quote"/>
    <w:basedOn w:val="Navaden"/>
    <w:next w:val="Navaden"/>
    <w:link w:val="IntenzivencitatZnak"/>
    <w:uiPriority w:val="30"/>
    <w:qFormat/>
    <w:rsid w:val="00735931"/>
    <w:pPr>
      <w:pBdr>
        <w:bottom w:val="single" w:sz="4" w:space="4" w:color="4F81BD" w:themeColor="accent1"/>
      </w:pBdr>
      <w:spacing w:before="200" w:after="280" w:line="276" w:lineRule="auto"/>
      <w:ind w:left="936" w:right="936"/>
      <w:contextualSpacing w:val="0"/>
      <w:jc w:val="left"/>
    </w:pPr>
    <w:rPr>
      <w:rFonts w:asciiTheme="minorHAnsi" w:hAnsiTheme="minorHAnsi"/>
      <w:b/>
      <w:bCs/>
      <w:i/>
      <w:iCs/>
      <w:color w:val="4F81BD" w:themeColor="accent1"/>
    </w:rPr>
  </w:style>
  <w:style w:type="character" w:customStyle="1" w:styleId="IntenzivencitatZnak">
    <w:name w:val="Intenziven citat Znak"/>
    <w:basedOn w:val="Privzetapisavaodstavka"/>
    <w:link w:val="Intenzivencitat"/>
    <w:uiPriority w:val="30"/>
    <w:rsid w:val="00735931"/>
    <w:rPr>
      <w:b/>
      <w:bCs/>
      <w:i/>
      <w:iCs/>
      <w:color w:val="4F81BD" w:themeColor="accent1"/>
    </w:rPr>
  </w:style>
  <w:style w:type="paragraph" w:customStyle="1" w:styleId="Default">
    <w:name w:val="Default"/>
    <w:rsid w:val="00BB5286"/>
    <w:pPr>
      <w:autoSpaceDE w:val="0"/>
      <w:autoSpaceDN w:val="0"/>
      <w:adjustRightInd w:val="0"/>
      <w:spacing w:after="0" w:line="240" w:lineRule="auto"/>
    </w:pPr>
    <w:rPr>
      <w:rFonts w:ascii="Arial" w:hAnsi="Arial" w:cs="Arial"/>
      <w:color w:val="000000"/>
      <w:sz w:val="24"/>
      <w:szCs w:val="24"/>
    </w:rPr>
  </w:style>
  <w:style w:type="character" w:customStyle="1" w:styleId="highlight1">
    <w:name w:val="highlight1"/>
    <w:basedOn w:val="Privzetapisavaodstavka"/>
    <w:rsid w:val="00BB5286"/>
    <w:rPr>
      <w:shd w:val="clear" w:color="auto" w:fill="FFFF88"/>
    </w:rPr>
  </w:style>
  <w:style w:type="paragraph" w:styleId="Konnaopomba-besedilo">
    <w:name w:val="endnote text"/>
    <w:basedOn w:val="Navaden"/>
    <w:link w:val="Konnaopomba-besediloZnak"/>
    <w:uiPriority w:val="99"/>
    <w:semiHidden/>
    <w:unhideWhenUsed/>
    <w:rsid w:val="00E51B05"/>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51B05"/>
    <w:rPr>
      <w:rFonts w:ascii="Arial" w:hAnsi="Arial"/>
      <w:sz w:val="20"/>
      <w:szCs w:val="20"/>
    </w:rPr>
  </w:style>
  <w:style w:type="character" w:styleId="Konnaopomba-sklic">
    <w:name w:val="endnote reference"/>
    <w:basedOn w:val="Privzetapisavaodstavka"/>
    <w:uiPriority w:val="99"/>
    <w:semiHidden/>
    <w:unhideWhenUsed/>
    <w:rsid w:val="00E51B05"/>
    <w:rPr>
      <w:vertAlign w:val="superscript"/>
    </w:rPr>
  </w:style>
  <w:style w:type="table" w:styleId="Svetelseznampoudarek1">
    <w:name w:val="Light List Accent 1"/>
    <w:basedOn w:val="Navadnatabela"/>
    <w:uiPriority w:val="61"/>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poudarek1">
    <w:name w:val="Light Grid Accent 1"/>
    <w:basedOn w:val="Navadnatabela"/>
    <w:uiPriority w:val="62"/>
    <w:rsid w:val="00E51B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dstavekseznamaZnak">
    <w:name w:val="Odstavek seznama Znak"/>
    <w:basedOn w:val="Privzetapisavaodstavka"/>
    <w:link w:val="Odstavekseznama"/>
    <w:uiPriority w:val="34"/>
    <w:rsid w:val="00D67024"/>
    <w:rPr>
      <w:rFonts w:ascii="Arial" w:hAnsi="Arial"/>
    </w:rPr>
  </w:style>
  <w:style w:type="character" w:customStyle="1" w:styleId="parent-org">
    <w:name w:val="parent-org"/>
    <w:basedOn w:val="Privzetapisavaodstavka"/>
    <w:rsid w:val="00A834EA"/>
  </w:style>
  <w:style w:type="paragraph" w:styleId="Navadensplet">
    <w:name w:val="Normal (Web)"/>
    <w:basedOn w:val="Navaden"/>
    <w:uiPriority w:val="99"/>
    <w:semiHidden/>
    <w:unhideWhenUsed/>
    <w:rsid w:val="00A834EA"/>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A3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480">
      <w:bodyDiv w:val="1"/>
      <w:marLeft w:val="0"/>
      <w:marRight w:val="0"/>
      <w:marTop w:val="0"/>
      <w:marBottom w:val="0"/>
      <w:divBdr>
        <w:top w:val="none" w:sz="0" w:space="0" w:color="auto"/>
        <w:left w:val="none" w:sz="0" w:space="0" w:color="auto"/>
        <w:bottom w:val="none" w:sz="0" w:space="0" w:color="auto"/>
        <w:right w:val="none" w:sz="0" w:space="0" w:color="auto"/>
      </w:divBdr>
    </w:div>
    <w:div w:id="183255946">
      <w:bodyDiv w:val="1"/>
      <w:marLeft w:val="0"/>
      <w:marRight w:val="0"/>
      <w:marTop w:val="0"/>
      <w:marBottom w:val="0"/>
      <w:divBdr>
        <w:top w:val="none" w:sz="0" w:space="0" w:color="auto"/>
        <w:left w:val="none" w:sz="0" w:space="0" w:color="auto"/>
        <w:bottom w:val="none" w:sz="0" w:space="0" w:color="auto"/>
        <w:right w:val="none" w:sz="0" w:space="0" w:color="auto"/>
      </w:divBdr>
    </w:div>
    <w:div w:id="896938379">
      <w:bodyDiv w:val="1"/>
      <w:marLeft w:val="0"/>
      <w:marRight w:val="0"/>
      <w:marTop w:val="0"/>
      <w:marBottom w:val="0"/>
      <w:divBdr>
        <w:top w:val="none" w:sz="0" w:space="0" w:color="auto"/>
        <w:left w:val="none" w:sz="0" w:space="0" w:color="auto"/>
        <w:bottom w:val="none" w:sz="0" w:space="0" w:color="auto"/>
        <w:right w:val="none" w:sz="0" w:space="0" w:color="auto"/>
      </w:divBdr>
    </w:div>
    <w:div w:id="957377344">
      <w:bodyDiv w:val="1"/>
      <w:marLeft w:val="0"/>
      <w:marRight w:val="0"/>
      <w:marTop w:val="0"/>
      <w:marBottom w:val="0"/>
      <w:divBdr>
        <w:top w:val="none" w:sz="0" w:space="0" w:color="auto"/>
        <w:left w:val="none" w:sz="0" w:space="0" w:color="auto"/>
        <w:bottom w:val="none" w:sz="0" w:space="0" w:color="auto"/>
        <w:right w:val="none" w:sz="0" w:space="0" w:color="auto"/>
      </w:divBdr>
    </w:div>
    <w:div w:id="1270091818">
      <w:bodyDiv w:val="1"/>
      <w:marLeft w:val="0"/>
      <w:marRight w:val="0"/>
      <w:marTop w:val="0"/>
      <w:marBottom w:val="0"/>
      <w:divBdr>
        <w:top w:val="none" w:sz="0" w:space="0" w:color="auto"/>
        <w:left w:val="none" w:sz="0" w:space="0" w:color="auto"/>
        <w:bottom w:val="none" w:sz="0" w:space="0" w:color="auto"/>
        <w:right w:val="none" w:sz="0" w:space="0" w:color="auto"/>
      </w:divBdr>
    </w:div>
    <w:div w:id="15208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er.klopcic@energetik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agrez@energetik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ergetik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rs.si/Pis.web/pregledPredpisa?id=URED6958" TargetMode="External"/><Relationship Id="rId4" Type="http://schemas.openxmlformats.org/officeDocument/2006/relationships/settings" Target="settings.xml"/><Relationship Id="rId9" Type="http://schemas.openxmlformats.org/officeDocument/2006/relationships/hyperlink" Target="http://www.energetika-lj.si" TargetMode="External"/><Relationship Id="rId14" Type="http://schemas.openxmlformats.org/officeDocument/2006/relationships/hyperlink" Target="mailto:irena.debeljak@energet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Nature.XSL" StyleName="Nature" Version="1"/>
</file>

<file path=customXml/itemProps1.xml><?xml version="1.0" encoding="utf-8"?>
<ds:datastoreItem xmlns:ds="http://schemas.openxmlformats.org/officeDocument/2006/customXml" ds:itemID="{22FCA46F-9DCB-4546-8A95-94CBB12C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7902</Characters>
  <Application>Microsoft Office Word</Application>
  <DocSecurity>4</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Doris Kukovičič</cp:lastModifiedBy>
  <cp:revision>2</cp:revision>
  <cp:lastPrinted>2023-08-21T08:55:00Z</cp:lastPrinted>
  <dcterms:created xsi:type="dcterms:W3CDTF">2024-07-01T14:42:00Z</dcterms:created>
  <dcterms:modified xsi:type="dcterms:W3CDTF">2024-07-01T14:42:00Z</dcterms:modified>
</cp:coreProperties>
</file>